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宋体" w:hAnsi="宋体" w:eastAsia="宋体" w:cs="宋体"/>
          <w:b/>
          <w:color w:val="auto"/>
          <w:spacing w:val="60"/>
          <w:sz w:val="52"/>
          <w:szCs w:val="52"/>
          <w:highlight w:val="none"/>
          <w:lang w:eastAsia="zh-CN"/>
        </w:rPr>
      </w:pPr>
      <w:bookmarkStart w:id="0" w:name="_Toc414469325"/>
      <w:bookmarkStart w:id="1" w:name="_Toc152042286"/>
      <w:bookmarkStart w:id="2" w:name="_Toc398217551"/>
      <w:bookmarkStart w:id="3" w:name="_Toc383700502"/>
      <w:bookmarkStart w:id="4" w:name="_Toc414898828"/>
      <w:bookmarkStart w:id="5" w:name="_Toc396476110"/>
      <w:bookmarkStart w:id="6" w:name="_Toc385590209"/>
      <w:bookmarkStart w:id="7" w:name="_Toc396475779"/>
      <w:bookmarkStart w:id="8" w:name="_Toc381789401"/>
      <w:bookmarkStart w:id="9" w:name="_Toc423345912"/>
      <w:bookmarkStart w:id="10" w:name="_Toc144974478"/>
      <w:bookmarkStart w:id="11" w:name="_Toc390697335"/>
      <w:bookmarkStart w:id="12" w:name="_Toc395691721"/>
      <w:bookmarkStart w:id="13" w:name="_Toc424225129"/>
    </w:p>
    <w:p>
      <w:pPr>
        <w:pStyle w:val="24"/>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b/>
          <w:color w:val="auto"/>
          <w:spacing w:val="60"/>
          <w:sz w:val="52"/>
          <w:szCs w:val="52"/>
          <w:highlight w:val="none"/>
        </w:rPr>
      </w:pPr>
      <w:r>
        <w:rPr>
          <w:rFonts w:hint="eastAsia" w:ascii="宋体" w:hAnsi="宋体" w:eastAsia="宋体" w:cs="宋体"/>
          <w:b/>
          <w:color w:val="auto"/>
          <w:spacing w:val="60"/>
          <w:sz w:val="52"/>
          <w:szCs w:val="52"/>
          <w:highlight w:val="none"/>
          <w:lang w:eastAsia="zh-CN"/>
        </w:rPr>
        <w:t>官渡镇农业产业强镇建设设备购置项目</w:t>
      </w:r>
      <w:r>
        <w:rPr>
          <w:rFonts w:hint="eastAsia" w:ascii="宋体" w:hAnsi="宋体" w:eastAsia="宋体" w:cs="宋体"/>
          <w:b/>
          <w:color w:val="auto"/>
          <w:spacing w:val="60"/>
          <w:sz w:val="52"/>
          <w:szCs w:val="52"/>
          <w:highlight w:val="none"/>
        </w:rPr>
        <w:t>招标文件</w:t>
      </w:r>
    </w:p>
    <w:p>
      <w:pPr>
        <w:spacing w:line="360" w:lineRule="auto"/>
        <w:jc w:val="center"/>
        <w:rPr>
          <w:rFonts w:hint="eastAsia" w:ascii="宋体" w:hAnsi="宋体"/>
          <w:b/>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080" w:firstLineChars="300"/>
        <w:jc w:val="both"/>
        <w:textAlignment w:val="auto"/>
        <w:rPr>
          <w:rFonts w:hint="eastAsia"/>
          <w:b w:val="0"/>
          <w:bCs w:val="0"/>
          <w:sz w:val="36"/>
          <w:szCs w:val="36"/>
          <w:highlight w:val="none"/>
        </w:rPr>
      </w:pPr>
      <w:r>
        <w:rPr>
          <w:rFonts w:hint="eastAsia"/>
          <w:b w:val="0"/>
          <w:bCs w:val="0"/>
          <w:sz w:val="36"/>
          <w:szCs w:val="36"/>
          <w:highlight w:val="none"/>
        </w:rPr>
        <w:t>项目编号：中牟政采公开-2021-07-3</w:t>
      </w:r>
    </w:p>
    <w:p>
      <w:pPr>
        <w:pStyle w:val="2"/>
        <w:rPr>
          <w:rFonts w:hint="default" w:eastAsia="宋体"/>
          <w:highlight w:val="none"/>
          <w:lang w:val="en-US" w:eastAsia="zh-CN"/>
        </w:rPr>
      </w:pPr>
      <w:r>
        <w:rPr>
          <w:rFonts w:hint="eastAsia"/>
          <w:b w:val="0"/>
          <w:bCs w:val="0"/>
          <w:sz w:val="36"/>
          <w:szCs w:val="36"/>
          <w:highlight w:val="none"/>
          <w:lang w:val="en-US" w:eastAsia="zh-CN"/>
        </w:rPr>
        <w:t xml:space="preserve">    </w:t>
      </w:r>
    </w:p>
    <w:p>
      <w:pPr>
        <w:spacing w:line="360" w:lineRule="auto"/>
        <w:jc w:val="both"/>
        <w:rPr>
          <w:rFonts w:hint="eastAsia" w:ascii="宋体" w:hAnsi="宋体"/>
          <w:b/>
          <w:sz w:val="28"/>
          <w:szCs w:val="28"/>
          <w:highlight w:val="none"/>
        </w:rPr>
      </w:pPr>
      <w:r>
        <w:rPr>
          <w:rFonts w:hint="eastAsia" w:ascii="黑体" w:eastAsia="黑体"/>
          <w:color w:val="000000"/>
          <w:sz w:val="52"/>
          <w:szCs w:val="52"/>
          <w:highlight w:val="none"/>
          <w:lang w:val="en-US" w:eastAsia="zh-CN"/>
        </w:rPr>
        <w:t xml:space="preserve">        </w:t>
      </w:r>
      <w:r>
        <w:rPr>
          <w:rFonts w:ascii="黑体" w:eastAsia="黑体"/>
          <w:color w:val="000000"/>
          <w:sz w:val="52"/>
          <w:szCs w:val="52"/>
          <w:highlight w:val="none"/>
        </w:rPr>
        <w:drawing>
          <wp:inline distT="0" distB="0" distL="114300" distR="114300">
            <wp:extent cx="2495550" cy="2402205"/>
            <wp:effectExtent l="0" t="0" r="0" b="17145"/>
            <wp:docPr id="2" name="图片 1" descr="C:\Users\ADMINI~1\AppData\Local\Temp\WeChat Files\5f11a4ba4955796e3d7a7b6908bf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5f11a4ba4955796e3d7a7b6908bf234.jpg"/>
                    <pic:cNvPicPr>
                      <a:picLocks noChangeAspect="1"/>
                    </pic:cNvPicPr>
                  </pic:nvPicPr>
                  <pic:blipFill>
                    <a:blip r:embed="rId24"/>
                    <a:stretch>
                      <a:fillRect/>
                    </a:stretch>
                  </pic:blipFill>
                  <pic:spPr>
                    <a:xfrm>
                      <a:off x="0" y="0"/>
                      <a:ext cx="2495550" cy="2402205"/>
                    </a:xfrm>
                    <a:prstGeom prst="rect">
                      <a:avLst/>
                    </a:prstGeom>
                    <a:noFill/>
                    <a:ln>
                      <a:noFill/>
                    </a:ln>
                  </pic:spPr>
                </pic:pic>
              </a:graphicData>
            </a:graphic>
          </wp:inline>
        </w:drawing>
      </w:r>
    </w:p>
    <w:p>
      <w:pPr>
        <w:spacing w:line="360" w:lineRule="auto"/>
        <w:ind w:firstLine="1681" w:firstLineChars="600"/>
        <w:jc w:val="left"/>
        <w:rPr>
          <w:rFonts w:hint="eastAsia" w:ascii="宋体" w:hAnsi="宋体"/>
          <w:b/>
          <w:sz w:val="28"/>
          <w:szCs w:val="28"/>
          <w:highlight w:val="none"/>
        </w:rPr>
      </w:pPr>
    </w:p>
    <w:p>
      <w:pPr>
        <w:pStyle w:val="2"/>
        <w:rPr>
          <w:rFonts w:hint="eastAsia" w:ascii="宋体" w:hAnsi="宋体"/>
          <w:b/>
          <w:sz w:val="28"/>
          <w:szCs w:val="28"/>
          <w:highlight w:val="none"/>
        </w:rPr>
      </w:pPr>
    </w:p>
    <w:p>
      <w:pPr>
        <w:rPr>
          <w:rFonts w:hint="eastAsia" w:ascii="宋体" w:hAnsi="宋体"/>
          <w:b/>
          <w:sz w:val="28"/>
          <w:szCs w:val="28"/>
          <w:highlight w:val="none"/>
        </w:rPr>
      </w:pPr>
    </w:p>
    <w:p>
      <w:pPr>
        <w:pStyle w:val="2"/>
        <w:rPr>
          <w:rFonts w:hint="eastAsia"/>
          <w:highlight w:val="none"/>
        </w:rPr>
      </w:pPr>
    </w:p>
    <w:p>
      <w:pPr>
        <w:spacing w:line="360" w:lineRule="auto"/>
        <w:ind w:firstLine="1687" w:firstLineChars="600"/>
        <w:jc w:val="left"/>
        <w:rPr>
          <w:rFonts w:hint="eastAsia" w:ascii="宋体" w:hAnsi="宋体" w:eastAsia="宋体"/>
          <w:b/>
          <w:sz w:val="28"/>
          <w:szCs w:val="28"/>
          <w:highlight w:val="none"/>
          <w:lang w:val="en-US" w:eastAsia="zh-CN"/>
        </w:rPr>
      </w:pPr>
      <w:r>
        <w:rPr>
          <w:rFonts w:hint="eastAsia" w:ascii="宋体" w:hAnsi="宋体" w:eastAsia="宋体"/>
          <w:b/>
          <w:sz w:val="28"/>
          <w:szCs w:val="28"/>
          <w:highlight w:val="none"/>
          <w:lang w:eastAsia="zh-CN"/>
        </w:rPr>
        <w:t>采购人</w:t>
      </w:r>
      <w:r>
        <w:rPr>
          <w:rFonts w:hint="eastAsia" w:ascii="宋体" w:hAnsi="宋体"/>
          <w:b/>
          <w:sz w:val="28"/>
          <w:szCs w:val="28"/>
          <w:highlight w:val="none"/>
        </w:rPr>
        <w:t>：</w:t>
      </w:r>
      <w:r>
        <w:rPr>
          <w:rFonts w:hint="eastAsia" w:ascii="宋体" w:hAnsi="宋体"/>
          <w:b/>
          <w:sz w:val="28"/>
          <w:szCs w:val="28"/>
          <w:highlight w:val="none"/>
          <w:lang w:eastAsia="zh-CN"/>
        </w:rPr>
        <w:t>中牟县官渡镇人民政府</w:t>
      </w:r>
    </w:p>
    <w:p>
      <w:pPr>
        <w:spacing w:line="360" w:lineRule="auto"/>
        <w:ind w:firstLine="1681" w:firstLineChars="600"/>
        <w:jc w:val="left"/>
        <w:rPr>
          <w:rFonts w:hint="eastAsia" w:ascii="宋体" w:hAnsi="宋体" w:eastAsia="宋体"/>
          <w:b/>
          <w:sz w:val="28"/>
          <w:szCs w:val="28"/>
          <w:highlight w:val="none"/>
          <w:lang w:eastAsia="zh-CN"/>
        </w:rPr>
      </w:pPr>
      <w:r>
        <w:rPr>
          <w:rFonts w:hint="eastAsia" w:ascii="宋体" w:hAnsi="宋体"/>
          <w:b/>
          <w:sz w:val="28"/>
          <w:szCs w:val="28"/>
          <w:highlight w:val="none"/>
        </w:rPr>
        <w:t>招标代理机构：</w:t>
      </w:r>
      <w:r>
        <w:rPr>
          <w:rFonts w:hint="eastAsia" w:ascii="宋体" w:hAnsi="宋体"/>
          <w:b/>
          <w:sz w:val="28"/>
          <w:szCs w:val="28"/>
          <w:highlight w:val="none"/>
          <w:lang w:eastAsia="zh-CN"/>
        </w:rPr>
        <w:t>河南斯弘工程咨询有限公司</w:t>
      </w:r>
    </w:p>
    <w:p>
      <w:pPr>
        <w:spacing w:line="360" w:lineRule="auto"/>
        <w:ind w:firstLine="1681" w:firstLineChars="600"/>
        <w:jc w:val="left"/>
        <w:rPr>
          <w:rFonts w:hint="eastAsia" w:ascii="宋体" w:hAnsi="宋体"/>
          <w:b/>
          <w:sz w:val="28"/>
          <w:szCs w:val="28"/>
          <w:highlight w:val="none"/>
        </w:rPr>
      </w:pPr>
      <w:r>
        <w:rPr>
          <w:rFonts w:hint="eastAsia" w:ascii="宋体" w:hAnsi="宋体"/>
          <w:b/>
          <w:sz w:val="28"/>
          <w:szCs w:val="28"/>
          <w:highlight w:val="none"/>
        </w:rPr>
        <w:t>日期：二0二</w:t>
      </w:r>
      <w:r>
        <w:rPr>
          <w:rFonts w:hint="eastAsia" w:ascii="宋体" w:hAnsi="宋体"/>
          <w:b/>
          <w:sz w:val="28"/>
          <w:szCs w:val="28"/>
          <w:highlight w:val="none"/>
          <w:lang w:eastAsia="zh-CN"/>
        </w:rPr>
        <w:t>一</w:t>
      </w:r>
      <w:r>
        <w:rPr>
          <w:rFonts w:hint="eastAsia" w:ascii="宋体" w:hAnsi="宋体"/>
          <w:b/>
          <w:sz w:val="28"/>
          <w:szCs w:val="28"/>
          <w:highlight w:val="none"/>
        </w:rPr>
        <w:t>年</w:t>
      </w:r>
      <w:r>
        <w:rPr>
          <w:rFonts w:hint="eastAsia" w:ascii="宋体" w:hAnsi="宋体"/>
          <w:b/>
          <w:sz w:val="28"/>
          <w:szCs w:val="28"/>
          <w:highlight w:val="none"/>
          <w:lang w:eastAsia="zh-CN"/>
        </w:rPr>
        <w:t>七</w:t>
      </w:r>
      <w:r>
        <w:rPr>
          <w:rFonts w:hint="eastAsia" w:ascii="宋体" w:hAnsi="宋体"/>
          <w:b/>
          <w:sz w:val="28"/>
          <w:szCs w:val="28"/>
          <w:highlight w:val="none"/>
        </w:rPr>
        <w:t>月</w:t>
      </w:r>
    </w:p>
    <w:p>
      <w:pPr>
        <w:pStyle w:val="8"/>
        <w:spacing w:after="156" w:afterLines="50" w:line="480" w:lineRule="auto"/>
        <w:ind w:firstLine="583" w:firstLineChars="112"/>
        <w:jc w:val="left"/>
        <w:rPr>
          <w:rFonts w:hint="eastAsia" w:hAnsi="宋体" w:cs="黑体"/>
          <w:b/>
          <w:sz w:val="52"/>
          <w:szCs w:val="52"/>
          <w:highlight w:val="none"/>
        </w:rPr>
        <w:sectPr>
          <w:headerReference r:id="rId7" w:type="first"/>
          <w:headerReference r:id="rId5" w:type="default"/>
          <w:headerReference r:id="rId6" w:type="even"/>
          <w:footerReference r:id="rId8" w:type="even"/>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pStyle w:val="25"/>
        <w:jc w:val="center"/>
        <w:rPr>
          <w:rFonts w:hint="eastAsia" w:ascii="宋体" w:hAnsi="宋体" w:eastAsia="宋体" w:cs="宋体"/>
          <w:kern w:val="2"/>
          <w:sz w:val="28"/>
          <w:szCs w:val="28"/>
          <w:highlight w:val="none"/>
          <w:lang w:val="en-US" w:eastAsia="zh-CN" w:bidi="ar-SA"/>
        </w:rPr>
      </w:pPr>
      <w:r>
        <w:rPr>
          <w:rFonts w:hint="eastAsia" w:ascii="宋体" w:hAnsi="宋体" w:eastAsia="宋体" w:cs="宋体"/>
          <w:b/>
          <w:bCs/>
          <w:sz w:val="28"/>
          <w:szCs w:val="28"/>
          <w:highlight w:val="none"/>
        </w:rPr>
        <w:t>目  录</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TOC \o "1-3" \h \z \u </w:instrText>
      </w:r>
      <w:r>
        <w:rPr>
          <w:rFonts w:hint="eastAsia" w:ascii="宋体" w:hAnsi="宋体" w:eastAsia="宋体" w:cs="宋体"/>
          <w:sz w:val="28"/>
          <w:szCs w:val="28"/>
          <w:highlight w:val="none"/>
        </w:rPr>
        <w:fldChar w:fldCharType="separate"/>
      </w:r>
    </w:p>
    <w:p>
      <w:pPr>
        <w:pStyle w:val="11"/>
        <w:tabs>
          <w:tab w:val="right" w:leader="dot" w:pos="8306"/>
        </w:tabs>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_Toc6727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第一章 招标公告</w:t>
      </w:r>
      <w:r>
        <w:rPr>
          <w:rFonts w:hint="eastAsia" w:ascii="宋体" w:hAnsi="宋体" w:eastAsia="宋体" w:cs="宋体"/>
          <w:sz w:val="28"/>
          <w:szCs w:val="28"/>
          <w:highlight w:val="none"/>
        </w:rPr>
        <w:tab/>
      </w:r>
      <w:r>
        <w:rPr>
          <w:rFonts w:hint="eastAsia" w:cs="宋体"/>
          <w:sz w:val="28"/>
          <w:szCs w:val="28"/>
          <w:highlight w:val="none"/>
          <w:lang w:val="en-US" w:eastAsia="zh-CN"/>
        </w:rPr>
        <w:t>2</w:t>
      </w:r>
      <w:r>
        <w:rPr>
          <w:rFonts w:hint="eastAsia" w:ascii="宋体" w:hAnsi="宋体" w:eastAsia="宋体" w:cs="宋体"/>
          <w:sz w:val="28"/>
          <w:szCs w:val="28"/>
          <w:highlight w:val="none"/>
        </w:rPr>
        <w:fldChar w:fldCharType="end"/>
      </w:r>
    </w:p>
    <w:p>
      <w:pPr>
        <w:pStyle w:val="11"/>
        <w:tabs>
          <w:tab w:val="right" w:leader="dot" w:pos="8306"/>
        </w:tabs>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_Toc10850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 xml:space="preserve">第二章 </w:t>
      </w:r>
      <w:r>
        <w:rPr>
          <w:rFonts w:hint="eastAsia" w:ascii="宋体" w:hAnsi="宋体" w:eastAsia="宋体" w:cs="宋体"/>
          <w:bCs/>
          <w:sz w:val="28"/>
          <w:szCs w:val="28"/>
          <w:highlight w:val="none"/>
          <w:lang w:eastAsia="zh-CN"/>
        </w:rPr>
        <w:t>供应商</w:t>
      </w:r>
      <w:r>
        <w:rPr>
          <w:rFonts w:hint="eastAsia" w:ascii="宋体" w:hAnsi="宋体" w:eastAsia="宋体" w:cs="宋体"/>
          <w:bCs/>
          <w:sz w:val="28"/>
          <w:szCs w:val="28"/>
          <w:highlight w:val="none"/>
        </w:rPr>
        <w:t>须知</w:t>
      </w:r>
      <w:r>
        <w:rPr>
          <w:rFonts w:hint="eastAsia" w:ascii="宋体" w:hAnsi="宋体" w:eastAsia="宋体" w:cs="宋体"/>
          <w:sz w:val="28"/>
          <w:szCs w:val="28"/>
          <w:highlight w:val="none"/>
        </w:rPr>
        <w:tab/>
      </w:r>
      <w:r>
        <w:rPr>
          <w:rFonts w:hint="eastAsia" w:cs="宋体"/>
          <w:sz w:val="28"/>
          <w:szCs w:val="28"/>
          <w:highlight w:val="none"/>
          <w:lang w:val="en-US" w:eastAsia="zh-CN"/>
        </w:rPr>
        <w:t>6</w:t>
      </w:r>
      <w:r>
        <w:rPr>
          <w:rFonts w:hint="eastAsia" w:ascii="宋体" w:hAnsi="宋体" w:eastAsia="宋体" w:cs="宋体"/>
          <w:sz w:val="28"/>
          <w:szCs w:val="28"/>
          <w:highlight w:val="none"/>
        </w:rPr>
        <w:fldChar w:fldCharType="end"/>
      </w:r>
    </w:p>
    <w:p>
      <w:pPr>
        <w:pStyle w:val="11"/>
        <w:tabs>
          <w:tab w:val="right" w:leader="dot" w:pos="8306"/>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_Toc5032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第三章 评标办法</w:t>
      </w:r>
      <w:r>
        <w:rPr>
          <w:rFonts w:hint="eastAsia" w:ascii="宋体" w:hAnsi="宋体" w:eastAsia="宋体" w:cs="宋体"/>
          <w:sz w:val="28"/>
          <w:szCs w:val="28"/>
          <w:highlight w:val="none"/>
        </w:rPr>
        <w:tab/>
      </w:r>
      <w:r>
        <w:rPr>
          <w:rFonts w:hint="eastAsia" w:cs="宋体"/>
          <w:sz w:val="28"/>
          <w:szCs w:val="28"/>
          <w:highlight w:val="none"/>
          <w:lang w:val="en-US" w:eastAsia="zh-CN"/>
        </w:rPr>
        <w:t>2</w:t>
      </w:r>
      <w:r>
        <w:rPr>
          <w:rFonts w:hint="eastAsia" w:ascii="宋体" w:hAnsi="宋体" w:eastAsia="宋体" w:cs="宋体"/>
          <w:sz w:val="28"/>
          <w:szCs w:val="28"/>
          <w:highlight w:val="none"/>
        </w:rPr>
        <w:fldChar w:fldCharType="end"/>
      </w:r>
      <w:r>
        <w:rPr>
          <w:rFonts w:hint="eastAsia" w:cs="宋体"/>
          <w:sz w:val="28"/>
          <w:szCs w:val="28"/>
          <w:highlight w:val="none"/>
          <w:lang w:val="en-US" w:eastAsia="zh-CN"/>
        </w:rPr>
        <w:t>0</w:t>
      </w:r>
    </w:p>
    <w:p>
      <w:pPr>
        <w:pStyle w:val="11"/>
        <w:tabs>
          <w:tab w:val="right" w:leader="dot" w:pos="8306"/>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_Toc17089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第四章 合同条款及格式</w:t>
      </w:r>
      <w:r>
        <w:rPr>
          <w:rFonts w:hint="eastAsia" w:ascii="宋体" w:hAnsi="宋体" w:eastAsia="宋体" w:cs="宋体"/>
          <w:sz w:val="28"/>
          <w:szCs w:val="28"/>
          <w:highlight w:val="none"/>
        </w:rPr>
        <w:tab/>
      </w:r>
      <w:r>
        <w:rPr>
          <w:rFonts w:hint="eastAsia" w:cs="宋体"/>
          <w:sz w:val="28"/>
          <w:szCs w:val="28"/>
          <w:highlight w:val="none"/>
          <w:lang w:val="en-US" w:eastAsia="zh-CN"/>
        </w:rPr>
        <w:t>2</w:t>
      </w:r>
      <w:r>
        <w:rPr>
          <w:rFonts w:hint="eastAsia" w:ascii="宋体" w:hAnsi="宋体" w:eastAsia="宋体" w:cs="宋体"/>
          <w:sz w:val="28"/>
          <w:szCs w:val="28"/>
          <w:highlight w:val="none"/>
        </w:rPr>
        <w:fldChar w:fldCharType="end"/>
      </w:r>
      <w:r>
        <w:rPr>
          <w:rFonts w:hint="eastAsia" w:cs="宋体"/>
          <w:sz w:val="28"/>
          <w:szCs w:val="28"/>
          <w:highlight w:val="none"/>
          <w:lang w:val="en-US" w:eastAsia="zh-CN"/>
        </w:rPr>
        <w:t>6</w:t>
      </w:r>
    </w:p>
    <w:p>
      <w:pPr>
        <w:pStyle w:val="11"/>
        <w:tabs>
          <w:tab w:val="right" w:leader="dot" w:pos="8306"/>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_Toc26240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 xml:space="preserve">第五章  </w:t>
      </w:r>
      <w:r>
        <w:rPr>
          <w:rFonts w:hint="eastAsia" w:ascii="宋体" w:hAnsi="宋体" w:eastAsia="宋体" w:cs="宋体"/>
          <w:bCs/>
          <w:sz w:val="28"/>
          <w:szCs w:val="28"/>
          <w:highlight w:val="none"/>
          <w:lang w:eastAsia="zh-CN"/>
        </w:rPr>
        <w:t>采购清单及技术参数要求</w:t>
      </w:r>
      <w:r>
        <w:rPr>
          <w:rFonts w:hint="eastAsia" w:ascii="宋体" w:hAnsi="宋体" w:eastAsia="宋体" w:cs="宋体"/>
          <w:sz w:val="28"/>
          <w:szCs w:val="28"/>
          <w:highlight w:val="none"/>
        </w:rPr>
        <w:tab/>
      </w:r>
      <w:r>
        <w:rPr>
          <w:rFonts w:hint="eastAsia" w:cs="宋体"/>
          <w:sz w:val="28"/>
          <w:szCs w:val="28"/>
          <w:highlight w:val="none"/>
          <w:lang w:val="en-US" w:eastAsia="zh-CN"/>
        </w:rPr>
        <w:t>3</w:t>
      </w:r>
      <w:r>
        <w:rPr>
          <w:rFonts w:hint="eastAsia" w:ascii="宋体" w:hAnsi="宋体" w:eastAsia="宋体" w:cs="宋体"/>
          <w:sz w:val="28"/>
          <w:szCs w:val="28"/>
          <w:highlight w:val="none"/>
        </w:rPr>
        <w:fldChar w:fldCharType="end"/>
      </w:r>
      <w:r>
        <w:rPr>
          <w:rFonts w:hint="eastAsia" w:cs="宋体"/>
          <w:sz w:val="28"/>
          <w:szCs w:val="28"/>
          <w:highlight w:val="none"/>
          <w:lang w:val="en-US" w:eastAsia="zh-CN"/>
        </w:rPr>
        <w:t>3</w:t>
      </w:r>
    </w:p>
    <w:p>
      <w:pPr>
        <w:pStyle w:val="11"/>
        <w:tabs>
          <w:tab w:val="right" w:leader="dot" w:pos="8306"/>
        </w:tabs>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_Toc1838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第</w:t>
      </w:r>
      <w:r>
        <w:rPr>
          <w:rFonts w:hint="eastAsia" w:ascii="宋体" w:hAnsi="宋体" w:eastAsia="宋体" w:cs="宋体"/>
          <w:bCs/>
          <w:sz w:val="28"/>
          <w:szCs w:val="28"/>
          <w:highlight w:val="none"/>
          <w:lang w:eastAsia="zh-CN"/>
        </w:rPr>
        <w:t>六</w:t>
      </w:r>
      <w:r>
        <w:rPr>
          <w:rFonts w:hint="eastAsia" w:ascii="宋体" w:hAnsi="宋体" w:eastAsia="宋体" w:cs="宋体"/>
          <w:bCs/>
          <w:sz w:val="28"/>
          <w:szCs w:val="28"/>
          <w:highlight w:val="none"/>
        </w:rPr>
        <w:t>章  投标文件格式</w:t>
      </w:r>
      <w:r>
        <w:rPr>
          <w:rFonts w:hint="eastAsia" w:ascii="宋体" w:hAnsi="宋体" w:eastAsia="宋体" w:cs="宋体"/>
          <w:sz w:val="28"/>
          <w:szCs w:val="28"/>
          <w:highlight w:val="none"/>
        </w:rPr>
        <w:tab/>
      </w:r>
      <w:r>
        <w:rPr>
          <w:rFonts w:hint="eastAsia" w:cs="宋体"/>
          <w:sz w:val="28"/>
          <w:szCs w:val="28"/>
          <w:highlight w:val="none"/>
          <w:lang w:val="en-US" w:eastAsia="zh-CN"/>
        </w:rPr>
        <w:t>5</w:t>
      </w:r>
      <w:r>
        <w:rPr>
          <w:rFonts w:hint="eastAsia" w:ascii="宋体" w:hAnsi="宋体" w:eastAsia="宋体" w:cs="宋体"/>
          <w:sz w:val="28"/>
          <w:szCs w:val="28"/>
          <w:highlight w:val="none"/>
        </w:rPr>
        <w:fldChar w:fldCharType="end"/>
      </w:r>
      <w:r>
        <w:rPr>
          <w:rFonts w:hint="eastAsia" w:cs="宋体"/>
          <w:sz w:val="28"/>
          <w:szCs w:val="28"/>
          <w:highlight w:val="none"/>
          <w:lang w:val="en-US" w:eastAsia="zh-CN"/>
        </w:rPr>
        <w:t>2</w:t>
      </w:r>
    </w:p>
    <w:p>
      <w:pPr>
        <w:pStyle w:val="12"/>
        <w:tabs>
          <w:tab w:val="right" w:leader="dot" w:pos="8296"/>
        </w:tabs>
        <w:ind w:left="0" w:leftChars="0"/>
        <w:jc w:val="center"/>
        <w:rPr>
          <w:rFonts w:ascii="Calibri" w:hAnsi="Calibri"/>
          <w:szCs w:val="22"/>
          <w:highlight w:val="none"/>
        </w:rPr>
        <w:sectPr>
          <w:footerReference r:id="rId11" w:type="first"/>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ascii="宋体" w:hAnsi="宋体" w:eastAsia="宋体" w:cs="宋体"/>
          <w:sz w:val="28"/>
          <w:szCs w:val="28"/>
          <w:highlight w:val="none"/>
        </w:rPr>
        <w:fldChar w:fldCharType="end"/>
      </w:r>
    </w:p>
    <w:p>
      <w:pPr>
        <w:pStyle w:val="2"/>
        <w:spacing w:before="129" w:line="240" w:lineRule="auto"/>
        <w:ind w:left="0" w:leftChars="0" w:right="0" w:firstLine="0" w:firstLineChars="0"/>
        <w:jc w:val="center"/>
        <w:rPr>
          <w:highlight w:val="none"/>
        </w:rPr>
      </w:pPr>
      <w:r>
        <w:rPr>
          <w:highlight w:val="none"/>
        </w:rPr>
        <w:t>第一章</w:t>
      </w:r>
      <w:r>
        <w:rPr>
          <w:spacing w:val="-5"/>
          <w:highlight w:val="none"/>
        </w:rPr>
        <w:t xml:space="preserve"> </w:t>
      </w:r>
      <w:bookmarkStart w:id="14" w:name="_bookmark0"/>
      <w:bookmarkEnd w:id="14"/>
      <w:bookmarkStart w:id="15" w:name="第一章招标公告"/>
      <w:bookmarkEnd w:id="15"/>
      <w:r>
        <w:rPr>
          <w:highlight w:val="none"/>
        </w:rPr>
        <w:t>招标公告</w:t>
      </w:r>
    </w:p>
    <w:p>
      <w:pPr>
        <w:spacing w:before="467" w:line="357" w:lineRule="auto"/>
        <w:ind w:left="2096" w:right="2089" w:firstLine="0"/>
        <w:jc w:val="center"/>
        <w:rPr>
          <w:rFonts w:ascii="宋体" w:hAnsi="宋体" w:eastAsia="宋体" w:cs="宋体"/>
          <w:sz w:val="32"/>
          <w:szCs w:val="32"/>
          <w:highlight w:val="none"/>
        </w:rPr>
      </w:pPr>
      <w:r>
        <w:rPr>
          <w:rFonts w:hint="eastAsia" w:ascii="宋体" w:hAnsi="宋体" w:eastAsia="宋体" w:cs="宋体"/>
          <w:sz w:val="32"/>
          <w:szCs w:val="32"/>
          <w:highlight w:val="none"/>
          <w:lang w:eastAsia="zh-CN"/>
        </w:rPr>
        <w:t>官渡镇农业产业强镇建设设备购置项目</w:t>
      </w:r>
      <w:r>
        <w:rPr>
          <w:rFonts w:ascii="宋体" w:hAnsi="宋体" w:eastAsia="宋体" w:cs="宋体"/>
          <w:w w:val="99"/>
          <w:sz w:val="32"/>
          <w:szCs w:val="32"/>
          <w:highlight w:val="none"/>
        </w:rPr>
        <w:t xml:space="preserve"> </w:t>
      </w:r>
      <w:r>
        <w:rPr>
          <w:rFonts w:ascii="宋体" w:hAnsi="宋体" w:eastAsia="宋体" w:cs="宋体"/>
          <w:sz w:val="32"/>
          <w:szCs w:val="32"/>
          <w:highlight w:val="none"/>
        </w:rPr>
        <w:t>公开招标公告</w:t>
      </w:r>
    </w:p>
    <w:p>
      <w:pPr>
        <w:pStyle w:val="6"/>
        <w:spacing w:before="113" w:line="240" w:lineRule="auto"/>
        <w:ind w:right="0"/>
        <w:jc w:val="left"/>
        <w:rPr>
          <w:highlight w:val="none"/>
        </w:rPr>
      </w:pPr>
      <w:r>
        <w:rPr>
          <w:highlight w:val="none"/>
        </w:rPr>
        <w:t>项目概况</w:t>
      </w:r>
    </w:p>
    <w:p>
      <w:pPr>
        <w:pStyle w:val="6"/>
        <w:keepNext w:val="0"/>
        <w:keepLines w:val="0"/>
        <w:pageBreakBefore w:val="0"/>
        <w:widowControl w:val="0"/>
        <w:kinsoku/>
        <w:wordWrap/>
        <w:overflowPunct/>
        <w:topLinePunct w:val="0"/>
        <w:autoSpaceDE/>
        <w:autoSpaceDN/>
        <w:bidi w:val="0"/>
        <w:adjustRightInd/>
        <w:snapToGrid/>
        <w:spacing w:before="187" w:line="360" w:lineRule="auto"/>
        <w:ind w:left="620" w:right="0"/>
        <w:jc w:val="left"/>
        <w:textAlignment w:val="auto"/>
        <w:rPr>
          <w:highlight w:val="none"/>
        </w:rPr>
      </w:pPr>
      <w:r>
        <w:rPr>
          <w:rFonts w:hint="eastAsia"/>
          <w:highlight w:val="none"/>
          <w:lang w:eastAsia="zh-CN"/>
        </w:rPr>
        <w:t>官渡镇农业产业强镇建设设备购置项目</w:t>
      </w:r>
      <w:r>
        <w:rPr>
          <w:highlight w:val="none"/>
        </w:rPr>
        <w:t>的潜在投标人应在中牟县公共资源交易中心网</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r>
        <w:rPr>
          <w:highlight w:val="none"/>
        </w:rPr>
        <w:t>站上获取采购文件，</w:t>
      </w:r>
      <w:r>
        <w:rPr>
          <w:rFonts w:hint="eastAsia"/>
          <w:highlight w:val="none"/>
          <w:lang w:eastAsia="zh-CN"/>
        </w:rPr>
        <w:t>并于 2021 年</w:t>
      </w:r>
      <w:r>
        <w:rPr>
          <w:rFonts w:hint="eastAsia"/>
          <w:highlight w:val="none"/>
          <w:lang w:val="en-US" w:eastAsia="zh-CN"/>
        </w:rPr>
        <w:t>8</w:t>
      </w:r>
      <w:r>
        <w:rPr>
          <w:rFonts w:hint="eastAsia"/>
          <w:highlight w:val="none"/>
          <w:lang w:eastAsia="zh-CN"/>
        </w:rPr>
        <w:t>月</w:t>
      </w:r>
      <w:r>
        <w:rPr>
          <w:rFonts w:hint="eastAsia"/>
          <w:highlight w:val="none"/>
          <w:lang w:val="en-US" w:eastAsia="zh-CN"/>
        </w:rPr>
        <w:t>17</w:t>
      </w:r>
      <w:r>
        <w:rPr>
          <w:rFonts w:hint="eastAsia"/>
          <w:highlight w:val="none"/>
          <w:lang w:eastAsia="zh-CN"/>
        </w:rPr>
        <w:t>日</w:t>
      </w:r>
      <w:r>
        <w:rPr>
          <w:rFonts w:hint="eastAsia"/>
          <w:highlight w:val="none"/>
          <w:lang w:val="en-US" w:eastAsia="zh-CN"/>
        </w:rPr>
        <w:t xml:space="preserve"> 10 </w:t>
      </w:r>
      <w:r>
        <w:rPr>
          <w:rFonts w:hint="eastAsia"/>
          <w:highlight w:val="none"/>
          <w:lang w:eastAsia="zh-CN"/>
        </w:rPr>
        <w:t>点 00 分</w:t>
      </w:r>
      <w:r>
        <w:rPr>
          <w:highlight w:val="none"/>
        </w:rPr>
        <w:t xml:space="preserve">（北京时间）前递交投标文件。 </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r>
        <w:rPr>
          <w:highlight w:val="none"/>
        </w:rPr>
        <w:t>一、项目基本情况</w:t>
      </w:r>
    </w:p>
    <w:p>
      <w:pPr>
        <w:pStyle w:val="6"/>
        <w:keepNext w:val="0"/>
        <w:keepLines w:val="0"/>
        <w:pageBreakBefore w:val="0"/>
        <w:widowControl w:val="0"/>
        <w:kinsoku/>
        <w:wordWrap/>
        <w:overflowPunct/>
        <w:topLinePunct w:val="0"/>
        <w:autoSpaceDE/>
        <w:autoSpaceDN/>
        <w:bidi w:val="0"/>
        <w:adjustRightInd/>
        <w:snapToGrid/>
        <w:spacing w:before="46" w:line="360" w:lineRule="auto"/>
        <w:ind w:left="860" w:right="4206" w:hanging="240"/>
        <w:jc w:val="left"/>
        <w:textAlignment w:val="auto"/>
        <w:rPr>
          <w:highlight w:val="none"/>
        </w:rPr>
      </w:pPr>
      <w:r>
        <w:rPr>
          <w:highlight w:val="none"/>
        </w:rPr>
        <w:t>1.项目编号：</w:t>
      </w:r>
      <w:r>
        <w:rPr>
          <w:rFonts w:hint="eastAsia"/>
          <w:highlight w:val="none"/>
        </w:rPr>
        <w:t>中牟政采公开-2021-07-3</w:t>
      </w:r>
    </w:p>
    <w:p>
      <w:pPr>
        <w:pStyle w:val="6"/>
        <w:keepNext w:val="0"/>
        <w:keepLines w:val="0"/>
        <w:pageBreakBefore w:val="0"/>
        <w:widowControl w:val="0"/>
        <w:kinsoku/>
        <w:wordWrap/>
        <w:overflowPunct/>
        <w:topLinePunct w:val="0"/>
        <w:autoSpaceDE/>
        <w:autoSpaceDN/>
        <w:bidi w:val="0"/>
        <w:adjustRightInd/>
        <w:snapToGrid/>
        <w:spacing w:before="46" w:line="360" w:lineRule="auto"/>
        <w:ind w:right="4206" w:firstLine="720" w:firstLineChars="300"/>
        <w:jc w:val="left"/>
        <w:textAlignment w:val="auto"/>
        <w:rPr>
          <w:rFonts w:hint="eastAsia" w:eastAsia="宋体"/>
          <w:highlight w:val="none"/>
          <w:lang w:val="en-US" w:eastAsia="zh-CN"/>
        </w:rPr>
      </w:pPr>
      <w:r>
        <w:rPr>
          <w:highlight w:val="none"/>
        </w:rPr>
        <w:t>进场编号：</w:t>
      </w:r>
      <w:r>
        <w:rPr>
          <w:rFonts w:hint="eastAsia"/>
          <w:highlight w:val="none"/>
          <w:lang w:val="en-US" w:eastAsia="zh-CN"/>
        </w:rPr>
        <w:t xml:space="preserve"> 牟公资采2021-0713-208</w:t>
      </w:r>
    </w:p>
    <w:p>
      <w:pPr>
        <w:pStyle w:val="6"/>
        <w:spacing w:before="43" w:line="240" w:lineRule="auto"/>
        <w:ind w:left="620" w:right="0"/>
        <w:jc w:val="left"/>
        <w:rPr>
          <w:rFonts w:hint="eastAsia" w:eastAsia="宋体"/>
          <w:highlight w:val="none"/>
          <w:lang w:eastAsia="zh-CN"/>
        </w:rPr>
      </w:pPr>
      <w:r>
        <w:rPr>
          <w:highlight w:val="none"/>
        </w:rPr>
        <w:t>2.项目名称：</w:t>
      </w:r>
      <w:r>
        <w:rPr>
          <w:rFonts w:hint="eastAsia"/>
          <w:highlight w:val="none"/>
          <w:lang w:eastAsia="zh-CN"/>
        </w:rPr>
        <w:t>官渡镇农业产业强镇建设设备购置项目</w:t>
      </w:r>
    </w:p>
    <w:p>
      <w:pPr>
        <w:pStyle w:val="6"/>
        <w:spacing w:before="187" w:line="240" w:lineRule="auto"/>
        <w:ind w:left="620" w:right="0"/>
        <w:jc w:val="left"/>
        <w:rPr>
          <w:highlight w:val="none"/>
        </w:rPr>
      </w:pPr>
      <w:r>
        <w:rPr>
          <w:highlight w:val="none"/>
        </w:rPr>
        <w:t>3.采购方式：公开招标</w:t>
      </w:r>
    </w:p>
    <w:p>
      <w:pPr>
        <w:pStyle w:val="6"/>
        <w:keepNext w:val="0"/>
        <w:keepLines w:val="0"/>
        <w:pageBreakBefore w:val="0"/>
        <w:widowControl w:val="0"/>
        <w:kinsoku/>
        <w:wordWrap/>
        <w:overflowPunct/>
        <w:topLinePunct w:val="0"/>
        <w:autoSpaceDE/>
        <w:autoSpaceDN/>
        <w:bidi w:val="0"/>
        <w:adjustRightInd/>
        <w:snapToGrid/>
        <w:spacing w:before="185" w:line="360" w:lineRule="auto"/>
        <w:ind w:left="620" w:right="0"/>
        <w:jc w:val="left"/>
        <w:textAlignment w:val="auto"/>
        <w:rPr>
          <w:highlight w:val="none"/>
        </w:rPr>
      </w:pPr>
      <w:r>
        <w:rPr>
          <w:highlight w:val="none"/>
        </w:rPr>
        <w:t>4.预算金额：</w:t>
      </w:r>
      <w:r>
        <w:rPr>
          <w:rFonts w:hint="eastAsia"/>
          <w:highlight w:val="none"/>
        </w:rPr>
        <w:t xml:space="preserve">3728345.99 </w:t>
      </w:r>
      <w:r>
        <w:rPr>
          <w:highlight w:val="none"/>
        </w:rPr>
        <w:t>元</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20" w:firstLineChars="100"/>
        <w:jc w:val="both"/>
        <w:textAlignment w:val="auto"/>
        <w:rPr>
          <w:rFonts w:hint="default" w:eastAsia="宋体"/>
          <w:lang w:val="en-US" w:eastAsia="zh-CN"/>
        </w:rPr>
      </w:pPr>
      <w:r>
        <w:rPr>
          <w:rFonts w:hint="eastAsia" w:eastAsia="宋体"/>
          <w:highlight w:val="none"/>
          <w:lang w:val="en-US" w:eastAsia="zh-CN"/>
        </w:rPr>
        <w:t xml:space="preserve">             </w:t>
      </w:r>
      <w:r>
        <w:rPr>
          <w:rFonts w:ascii="宋体" w:hAnsi="宋体" w:eastAsia="宋体" w:cs="Times New Roman"/>
          <w:kern w:val="2"/>
          <w:sz w:val="24"/>
          <w:szCs w:val="24"/>
          <w:highlight w:val="none"/>
          <w:lang w:val="en-US" w:eastAsia="en-US" w:bidi="ar-SA"/>
        </w:rPr>
        <w:t>最高限价：</w:t>
      </w:r>
      <w:r>
        <w:rPr>
          <w:rFonts w:hint="eastAsia" w:ascii="宋体" w:hAnsi="宋体" w:eastAsia="宋体" w:cs="Times New Roman"/>
          <w:sz w:val="24"/>
          <w:szCs w:val="24"/>
          <w:highlight w:val="none"/>
          <w:lang w:val="en-US" w:eastAsia="en-US" w:bidi="ar-SA"/>
        </w:rPr>
        <w:t xml:space="preserve">3728345.99 </w:t>
      </w:r>
      <w:r>
        <w:rPr>
          <w:rFonts w:ascii="宋体" w:hAnsi="宋体" w:eastAsia="宋体" w:cs="Times New Roman"/>
          <w:sz w:val="24"/>
          <w:szCs w:val="24"/>
          <w:highlight w:val="none"/>
          <w:lang w:val="en-US" w:eastAsia="en-US" w:bidi="ar-SA"/>
        </w:rPr>
        <w:t>元</w:t>
      </w:r>
    </w:p>
    <w:p>
      <w:pPr>
        <w:keepNext w:val="0"/>
        <w:keepLines w:val="0"/>
        <w:pageBreakBefore w:val="0"/>
        <w:widowControl w:val="0"/>
        <w:kinsoku/>
        <w:wordWrap/>
        <w:overflowPunct/>
        <w:topLinePunct w:val="0"/>
        <w:autoSpaceDE/>
        <w:autoSpaceDN/>
        <w:bidi w:val="0"/>
        <w:adjustRightInd/>
        <w:snapToGrid/>
        <w:spacing w:before="0" w:line="360" w:lineRule="auto"/>
        <w:textAlignment w:val="auto"/>
        <w:rPr>
          <w:rFonts w:ascii="宋体" w:hAnsi="宋体" w:eastAsia="宋体" w:cs="宋体"/>
          <w:sz w:val="5"/>
          <w:szCs w:val="5"/>
          <w:highlight w:val="none"/>
        </w:rPr>
      </w:pPr>
    </w:p>
    <w:tbl>
      <w:tblPr>
        <w:tblStyle w:val="17"/>
        <w:tblW w:w="0" w:type="auto"/>
        <w:tblInd w:w="572" w:type="dxa"/>
        <w:tblLayout w:type="fixed"/>
        <w:tblCellMar>
          <w:top w:w="0" w:type="dxa"/>
          <w:left w:w="0" w:type="dxa"/>
          <w:bottom w:w="0" w:type="dxa"/>
          <w:right w:w="0" w:type="dxa"/>
        </w:tblCellMar>
      </w:tblPr>
      <w:tblGrid>
        <w:gridCol w:w="753"/>
        <w:gridCol w:w="790"/>
        <w:gridCol w:w="3783"/>
        <w:gridCol w:w="1601"/>
        <w:gridCol w:w="1690"/>
      </w:tblGrid>
      <w:tr>
        <w:tblPrEx>
          <w:tblCellMar>
            <w:top w:w="0" w:type="dxa"/>
            <w:left w:w="0" w:type="dxa"/>
            <w:bottom w:w="0" w:type="dxa"/>
            <w:right w:w="0" w:type="dxa"/>
          </w:tblCellMar>
        </w:tblPrEx>
        <w:trPr>
          <w:trHeight w:val="752" w:hRule="exact"/>
        </w:trPr>
        <w:tc>
          <w:tcPr>
            <w:tcW w:w="753" w:type="dxa"/>
            <w:tcBorders>
              <w:top w:val="single" w:color="000000" w:sz="4" w:space="0"/>
              <w:left w:val="single" w:color="000000" w:sz="4" w:space="0"/>
              <w:bottom w:val="single" w:color="000000" w:sz="4" w:space="0"/>
              <w:right w:val="single" w:color="000000" w:sz="4" w:space="0"/>
            </w:tcBorders>
          </w:tcPr>
          <w:p>
            <w:pPr>
              <w:pStyle w:val="23"/>
              <w:keepNext w:val="0"/>
              <w:keepLines w:val="0"/>
              <w:pageBreakBefore w:val="0"/>
              <w:widowControl w:val="0"/>
              <w:kinsoku/>
              <w:wordWrap/>
              <w:overflowPunct/>
              <w:topLinePunct w:val="0"/>
              <w:autoSpaceDE/>
              <w:autoSpaceDN/>
              <w:bidi w:val="0"/>
              <w:adjustRightInd/>
              <w:snapToGrid/>
              <w:spacing w:before="136" w:line="360" w:lineRule="auto"/>
              <w:ind w:left="148" w:right="0"/>
              <w:jc w:val="left"/>
              <w:textAlignment w:val="auto"/>
              <w:rPr>
                <w:rFonts w:ascii="宋体" w:hAnsi="宋体" w:eastAsia="宋体" w:cs="宋体"/>
                <w:sz w:val="24"/>
                <w:szCs w:val="24"/>
                <w:highlight w:val="none"/>
              </w:rPr>
            </w:pPr>
            <w:r>
              <w:rPr>
                <w:rFonts w:ascii="宋体" w:hAnsi="宋体" w:eastAsia="宋体" w:cs="宋体"/>
                <w:sz w:val="24"/>
                <w:szCs w:val="24"/>
                <w:highlight w:val="none"/>
              </w:rPr>
              <w:t>序号</w:t>
            </w:r>
          </w:p>
        </w:tc>
        <w:tc>
          <w:tcPr>
            <w:tcW w:w="790" w:type="dxa"/>
            <w:tcBorders>
              <w:top w:val="single" w:color="000000" w:sz="4" w:space="0"/>
              <w:left w:val="single" w:color="000000" w:sz="4" w:space="0"/>
              <w:bottom w:val="single" w:color="000000" w:sz="4" w:space="0"/>
              <w:right w:val="single" w:color="000000" w:sz="4" w:space="0"/>
            </w:tcBorders>
          </w:tcPr>
          <w:p>
            <w:pPr>
              <w:pStyle w:val="23"/>
              <w:keepNext w:val="0"/>
              <w:keepLines w:val="0"/>
              <w:pageBreakBefore w:val="0"/>
              <w:widowControl w:val="0"/>
              <w:kinsoku/>
              <w:wordWrap/>
              <w:overflowPunct/>
              <w:topLinePunct w:val="0"/>
              <w:autoSpaceDE/>
              <w:autoSpaceDN/>
              <w:bidi w:val="0"/>
              <w:adjustRightInd/>
              <w:snapToGrid/>
              <w:spacing w:before="136" w:line="360" w:lineRule="auto"/>
              <w:ind w:left="145" w:right="0"/>
              <w:jc w:val="left"/>
              <w:textAlignment w:val="auto"/>
              <w:rPr>
                <w:rFonts w:ascii="宋体" w:hAnsi="宋体" w:eastAsia="宋体" w:cs="宋体"/>
                <w:sz w:val="24"/>
                <w:szCs w:val="24"/>
                <w:highlight w:val="none"/>
              </w:rPr>
            </w:pPr>
            <w:r>
              <w:rPr>
                <w:rFonts w:ascii="宋体" w:hAnsi="宋体" w:eastAsia="宋体" w:cs="宋体"/>
                <w:sz w:val="24"/>
                <w:szCs w:val="24"/>
                <w:highlight w:val="none"/>
              </w:rPr>
              <w:t>包号</w:t>
            </w:r>
          </w:p>
        </w:tc>
        <w:tc>
          <w:tcPr>
            <w:tcW w:w="3783" w:type="dxa"/>
            <w:tcBorders>
              <w:top w:val="single" w:color="000000" w:sz="4" w:space="0"/>
              <w:left w:val="single" w:color="000000" w:sz="4" w:space="0"/>
              <w:bottom w:val="single" w:color="000000" w:sz="4" w:space="0"/>
              <w:right w:val="single" w:color="000000" w:sz="4" w:space="0"/>
            </w:tcBorders>
          </w:tcPr>
          <w:p>
            <w:pPr>
              <w:pStyle w:val="23"/>
              <w:keepNext w:val="0"/>
              <w:keepLines w:val="0"/>
              <w:pageBreakBefore w:val="0"/>
              <w:widowControl w:val="0"/>
              <w:kinsoku/>
              <w:wordWrap/>
              <w:overflowPunct/>
              <w:topLinePunct w:val="0"/>
              <w:autoSpaceDE/>
              <w:autoSpaceDN/>
              <w:bidi w:val="0"/>
              <w:adjustRightInd/>
              <w:snapToGrid/>
              <w:spacing w:before="136" w:line="360" w:lineRule="auto"/>
              <w:ind w:right="0"/>
              <w:jc w:val="center"/>
              <w:textAlignment w:val="auto"/>
              <w:rPr>
                <w:rFonts w:ascii="宋体" w:hAnsi="宋体" w:eastAsia="宋体" w:cs="宋体"/>
                <w:sz w:val="24"/>
                <w:szCs w:val="24"/>
                <w:highlight w:val="none"/>
              </w:rPr>
            </w:pPr>
            <w:r>
              <w:rPr>
                <w:rFonts w:ascii="宋体" w:hAnsi="宋体" w:eastAsia="宋体" w:cs="宋体"/>
                <w:sz w:val="24"/>
                <w:szCs w:val="24"/>
                <w:highlight w:val="none"/>
              </w:rPr>
              <w:t>包名称</w:t>
            </w:r>
          </w:p>
        </w:tc>
        <w:tc>
          <w:tcPr>
            <w:tcW w:w="1601" w:type="dxa"/>
            <w:tcBorders>
              <w:top w:val="single" w:color="000000" w:sz="4" w:space="0"/>
              <w:left w:val="single" w:color="000000" w:sz="4" w:space="0"/>
              <w:bottom w:val="single" w:color="000000" w:sz="4" w:space="0"/>
              <w:right w:val="single" w:color="000000" w:sz="4" w:space="0"/>
            </w:tcBorders>
            <w:vAlign w:val="center"/>
          </w:tcPr>
          <w:p>
            <w:pPr>
              <w:pStyle w:val="23"/>
              <w:keepNext w:val="0"/>
              <w:keepLines w:val="0"/>
              <w:pageBreakBefore w:val="0"/>
              <w:widowControl w:val="0"/>
              <w:kinsoku/>
              <w:wordWrap/>
              <w:overflowPunct/>
              <w:topLinePunct w:val="0"/>
              <w:autoSpaceDE/>
              <w:autoSpaceDN/>
              <w:bidi w:val="0"/>
              <w:adjustRightInd/>
              <w:snapToGrid/>
              <w:spacing w:line="360" w:lineRule="auto"/>
              <w:ind w:left="241" w:right="0"/>
              <w:jc w:val="center"/>
              <w:textAlignment w:val="auto"/>
              <w:rPr>
                <w:rFonts w:ascii="宋体" w:hAnsi="宋体" w:eastAsia="宋体" w:cs="宋体"/>
                <w:sz w:val="24"/>
                <w:szCs w:val="24"/>
                <w:highlight w:val="none"/>
              </w:rPr>
            </w:pPr>
            <w:r>
              <w:rPr>
                <w:rFonts w:ascii="宋体" w:hAnsi="宋体" w:eastAsia="宋体" w:cs="宋体"/>
                <w:sz w:val="24"/>
                <w:szCs w:val="24"/>
                <w:highlight w:val="none"/>
              </w:rPr>
              <w:t>包预算</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元）</w:t>
            </w:r>
          </w:p>
        </w:tc>
        <w:tc>
          <w:tcPr>
            <w:tcW w:w="1690" w:type="dxa"/>
            <w:tcBorders>
              <w:top w:val="single" w:color="000000" w:sz="4" w:space="0"/>
              <w:left w:val="single" w:color="000000" w:sz="4" w:space="0"/>
              <w:bottom w:val="single" w:color="000000" w:sz="4" w:space="0"/>
              <w:right w:val="single" w:color="000000" w:sz="4" w:space="0"/>
            </w:tcBorders>
            <w:vAlign w:val="center"/>
          </w:tcPr>
          <w:p>
            <w:pPr>
              <w:pStyle w:val="23"/>
              <w:keepNext w:val="0"/>
              <w:keepLines w:val="0"/>
              <w:pageBreakBefore w:val="0"/>
              <w:widowControl w:val="0"/>
              <w:kinsoku/>
              <w:wordWrap/>
              <w:overflowPunct/>
              <w:topLinePunct w:val="0"/>
              <w:autoSpaceDE/>
              <w:autoSpaceDN/>
              <w:bidi w:val="0"/>
              <w:adjustRightInd/>
              <w:snapToGrid/>
              <w:spacing w:before="25" w:line="360" w:lineRule="auto"/>
              <w:ind w:left="156" w:right="154"/>
              <w:jc w:val="center"/>
              <w:textAlignment w:val="auto"/>
              <w:rPr>
                <w:rFonts w:ascii="宋体" w:hAnsi="宋体" w:eastAsia="宋体" w:cs="宋体"/>
                <w:sz w:val="24"/>
                <w:szCs w:val="24"/>
                <w:highlight w:val="none"/>
              </w:rPr>
            </w:pPr>
            <w:r>
              <w:rPr>
                <w:rFonts w:ascii="宋体" w:hAnsi="宋体" w:eastAsia="宋体" w:cs="宋体"/>
                <w:sz w:val="24"/>
                <w:szCs w:val="24"/>
                <w:highlight w:val="none"/>
              </w:rPr>
              <w:t>包最高限价（元）</w:t>
            </w:r>
          </w:p>
        </w:tc>
      </w:tr>
      <w:tr>
        <w:tblPrEx>
          <w:tblCellMar>
            <w:top w:w="0" w:type="dxa"/>
            <w:left w:w="0" w:type="dxa"/>
            <w:bottom w:w="0" w:type="dxa"/>
            <w:right w:w="0" w:type="dxa"/>
          </w:tblCellMar>
        </w:tblPrEx>
        <w:trPr>
          <w:trHeight w:val="812" w:hRule="exact"/>
        </w:trPr>
        <w:tc>
          <w:tcPr>
            <w:tcW w:w="753"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1" w:firstLine="480" w:firstLineChars="200"/>
              <w:jc w:val="both"/>
              <w:rPr>
                <w:rFonts w:ascii="宋体" w:hAnsi="宋体" w:eastAsia="宋体" w:cs="宋体"/>
                <w:sz w:val="24"/>
                <w:szCs w:val="24"/>
                <w:highlight w:val="none"/>
              </w:rPr>
            </w:pPr>
            <w:r>
              <w:rPr>
                <w:rFonts w:ascii="宋体"/>
                <w:sz w:val="24"/>
                <w:highlight w:val="none"/>
              </w:rPr>
              <w:t>1</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0" w:firstLine="240" w:firstLineChars="100"/>
              <w:jc w:val="both"/>
              <w:rPr>
                <w:rFonts w:hint="eastAsia"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A包</w:t>
            </w:r>
          </w:p>
        </w:tc>
        <w:tc>
          <w:tcPr>
            <w:tcW w:w="3783" w:type="dxa"/>
            <w:tcBorders>
              <w:top w:val="single" w:color="000000" w:sz="4" w:space="0"/>
              <w:left w:val="single" w:color="000000" w:sz="4" w:space="0"/>
              <w:bottom w:val="single" w:color="000000" w:sz="4" w:space="0"/>
              <w:right w:val="single" w:color="000000" w:sz="4" w:space="0"/>
            </w:tcBorders>
            <w:vAlign w:val="center"/>
          </w:tcPr>
          <w:p>
            <w:pPr>
              <w:pStyle w:val="23"/>
              <w:spacing w:before="112" w:line="307" w:lineRule="auto"/>
              <w:ind w:left="152" w:right="122" w:hanging="32"/>
              <w:jc w:val="center"/>
              <w:rPr>
                <w:rFonts w:hint="default"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官渡镇农业产业强镇建设设备购置项目A包</w:t>
            </w:r>
          </w:p>
        </w:tc>
        <w:tc>
          <w:tcPr>
            <w:tcW w:w="1601"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left="181"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918759.99</w:t>
            </w:r>
          </w:p>
        </w:tc>
        <w:tc>
          <w:tcPr>
            <w:tcW w:w="169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left="181" w:leftChars="0" w:right="0" w:rightChars="0"/>
              <w:jc w:val="center"/>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918759.99</w:t>
            </w:r>
          </w:p>
        </w:tc>
      </w:tr>
      <w:tr>
        <w:tblPrEx>
          <w:tblCellMar>
            <w:top w:w="0" w:type="dxa"/>
            <w:left w:w="0" w:type="dxa"/>
            <w:bottom w:w="0" w:type="dxa"/>
            <w:right w:w="0" w:type="dxa"/>
          </w:tblCellMar>
        </w:tblPrEx>
        <w:trPr>
          <w:trHeight w:val="820" w:hRule="exact"/>
        </w:trPr>
        <w:tc>
          <w:tcPr>
            <w:tcW w:w="753"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1"/>
              <w:jc w:val="center"/>
              <w:rPr>
                <w:rFonts w:hint="eastAsia" w:ascii="宋体" w:eastAsia="宋体"/>
                <w:sz w:val="24"/>
                <w:highlight w:val="none"/>
                <w:lang w:val="en-US" w:eastAsia="zh-CN"/>
              </w:rPr>
            </w:pPr>
            <w:r>
              <w:rPr>
                <w:rFonts w:hint="eastAsia" w:ascii="宋体" w:eastAsia="宋体"/>
                <w:sz w:val="24"/>
                <w:highlight w:val="none"/>
                <w:lang w:val="en-US" w:eastAsia="zh-CN"/>
              </w:rPr>
              <w:t>2</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0"/>
              <w:jc w:val="center"/>
              <w:rPr>
                <w:rFonts w:hint="eastAsia"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B包</w:t>
            </w:r>
          </w:p>
        </w:tc>
        <w:tc>
          <w:tcPr>
            <w:tcW w:w="3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官渡镇农业产业强镇建设设备购置项目B包</w:t>
            </w:r>
          </w:p>
        </w:tc>
        <w:tc>
          <w:tcPr>
            <w:tcW w:w="1601"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left="181" w:right="0"/>
              <w:jc w:val="center"/>
              <w:rPr>
                <w:rFonts w:hint="default" w:ascii="宋体" w:eastAsia="宋体"/>
                <w:sz w:val="24"/>
                <w:highlight w:val="none"/>
                <w:lang w:val="en-US" w:eastAsia="zh-CN"/>
              </w:rPr>
            </w:pPr>
            <w:r>
              <w:rPr>
                <w:rFonts w:hint="eastAsia" w:ascii="宋体" w:eastAsia="宋体"/>
                <w:sz w:val="24"/>
                <w:highlight w:val="none"/>
                <w:lang w:val="en-US" w:eastAsia="zh-CN"/>
              </w:rPr>
              <w:t>1632586.00</w:t>
            </w:r>
          </w:p>
        </w:tc>
        <w:tc>
          <w:tcPr>
            <w:tcW w:w="169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left="181" w:leftChars="0" w:right="0" w:rightChars="0"/>
              <w:jc w:val="center"/>
              <w:rPr>
                <w:rFonts w:hint="default" w:ascii="宋体" w:eastAsia="宋体" w:hAnsiTheme="minorHAnsi" w:cstheme="minorBidi"/>
                <w:sz w:val="24"/>
                <w:szCs w:val="22"/>
                <w:highlight w:val="none"/>
                <w:lang w:val="en-US" w:eastAsia="zh-CN" w:bidi="ar-SA"/>
              </w:rPr>
            </w:pPr>
            <w:r>
              <w:rPr>
                <w:rFonts w:hint="eastAsia" w:ascii="宋体" w:eastAsia="宋体"/>
                <w:sz w:val="24"/>
                <w:highlight w:val="none"/>
                <w:lang w:val="en-US" w:eastAsia="zh-CN"/>
              </w:rPr>
              <w:t>1632586.00</w:t>
            </w:r>
          </w:p>
        </w:tc>
      </w:tr>
      <w:tr>
        <w:tblPrEx>
          <w:tblCellMar>
            <w:top w:w="0" w:type="dxa"/>
            <w:left w:w="0" w:type="dxa"/>
            <w:bottom w:w="0" w:type="dxa"/>
            <w:right w:w="0" w:type="dxa"/>
          </w:tblCellMar>
        </w:tblPrEx>
        <w:trPr>
          <w:trHeight w:val="820" w:hRule="exact"/>
        </w:trPr>
        <w:tc>
          <w:tcPr>
            <w:tcW w:w="753"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1"/>
              <w:jc w:val="center"/>
              <w:rPr>
                <w:rFonts w:hint="eastAsia" w:ascii="宋体" w:eastAsia="宋体"/>
                <w:sz w:val="24"/>
                <w:highlight w:val="none"/>
                <w:lang w:val="en-US" w:eastAsia="zh-CN"/>
              </w:rPr>
            </w:pPr>
            <w:r>
              <w:rPr>
                <w:rFonts w:hint="eastAsia" w:ascii="宋体" w:eastAsia="宋体"/>
                <w:sz w:val="24"/>
                <w:highlight w:val="none"/>
                <w:lang w:val="en-US" w:eastAsia="zh-CN"/>
              </w:rPr>
              <w:t>3</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0"/>
              <w:jc w:val="center"/>
              <w:rPr>
                <w:rFonts w:hint="eastAsia"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C包</w:t>
            </w:r>
          </w:p>
        </w:tc>
        <w:tc>
          <w:tcPr>
            <w:tcW w:w="3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官渡镇农业产业强镇建设设备购置项目C包</w:t>
            </w:r>
          </w:p>
        </w:tc>
        <w:tc>
          <w:tcPr>
            <w:tcW w:w="1601"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left="181" w:right="0"/>
              <w:jc w:val="center"/>
              <w:rPr>
                <w:rFonts w:hint="default" w:ascii="宋体" w:eastAsia="宋体"/>
                <w:sz w:val="24"/>
                <w:highlight w:val="none"/>
                <w:lang w:val="en-US" w:eastAsia="zh-CN"/>
              </w:rPr>
            </w:pPr>
            <w:r>
              <w:rPr>
                <w:rFonts w:hint="eastAsia" w:ascii="宋体" w:eastAsia="宋体"/>
                <w:sz w:val="24"/>
                <w:highlight w:val="none"/>
                <w:lang w:val="en-US" w:eastAsia="zh-CN"/>
              </w:rPr>
              <w:t>1177000.00</w:t>
            </w:r>
          </w:p>
        </w:tc>
        <w:tc>
          <w:tcPr>
            <w:tcW w:w="169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left="181" w:leftChars="0" w:right="0" w:rightChars="0"/>
              <w:jc w:val="center"/>
              <w:rPr>
                <w:rFonts w:hint="default" w:ascii="宋体" w:eastAsia="宋体" w:hAnsiTheme="minorHAnsi" w:cstheme="minorBidi"/>
                <w:sz w:val="24"/>
                <w:szCs w:val="22"/>
                <w:highlight w:val="none"/>
                <w:lang w:val="en-US" w:eastAsia="zh-CN" w:bidi="ar-SA"/>
              </w:rPr>
            </w:pPr>
            <w:r>
              <w:rPr>
                <w:rFonts w:hint="eastAsia" w:ascii="宋体" w:eastAsia="宋体"/>
                <w:sz w:val="24"/>
                <w:highlight w:val="none"/>
                <w:lang w:val="en-US" w:eastAsia="zh-CN"/>
              </w:rPr>
              <w:t>1177000.00</w:t>
            </w:r>
          </w:p>
        </w:tc>
      </w:tr>
    </w:tbl>
    <w:p>
      <w:pPr>
        <w:spacing w:before="3" w:line="240" w:lineRule="auto"/>
        <w:rPr>
          <w:rFonts w:ascii="宋体" w:hAnsi="宋体" w:eastAsia="宋体" w:cs="宋体"/>
          <w:sz w:val="7"/>
          <w:szCs w:val="7"/>
          <w:highlight w:val="none"/>
        </w:rPr>
      </w:pPr>
    </w:p>
    <w:p>
      <w:pPr>
        <w:pStyle w:val="6"/>
        <w:spacing w:before="26" w:line="240" w:lineRule="auto"/>
        <w:ind w:left="620" w:right="0"/>
        <w:jc w:val="left"/>
        <w:rPr>
          <w:highlight w:val="none"/>
        </w:rPr>
      </w:pPr>
      <w:r>
        <w:rPr>
          <w:highlight w:val="none"/>
        </w:rPr>
        <w:t>5.采购需求：（包括但不限于标的的名称、数量、简要技术需求或服务要求等）</w:t>
      </w:r>
    </w:p>
    <w:p>
      <w:pPr>
        <w:pStyle w:val="6"/>
        <w:spacing w:before="187" w:line="240" w:lineRule="auto"/>
        <w:ind w:left="620" w:right="0" w:firstLine="240" w:firstLineChars="100"/>
        <w:jc w:val="left"/>
        <w:rPr>
          <w:rFonts w:hint="eastAsia"/>
          <w:spacing w:val="-60"/>
          <w:highlight w:val="none"/>
          <w:lang w:val="en-US" w:eastAsia="zh-CN"/>
        </w:rPr>
      </w:pPr>
      <w:r>
        <w:rPr>
          <w:highlight w:val="none"/>
        </w:rPr>
        <w:t>5.1</w:t>
      </w:r>
      <w:r>
        <w:rPr>
          <w:spacing w:val="-60"/>
          <w:highlight w:val="none"/>
        </w:rPr>
        <w:t xml:space="preserve"> </w:t>
      </w:r>
      <w:r>
        <w:rPr>
          <w:rFonts w:hint="eastAsia" w:ascii="宋体" w:hAnsi="宋体" w:eastAsia="宋体"/>
          <w:highlight w:val="none"/>
          <w:lang w:eastAsia="zh-CN"/>
        </w:rPr>
        <w:t>采购内容：本项目共分</w:t>
      </w:r>
      <w:r>
        <w:rPr>
          <w:rFonts w:hint="eastAsia" w:ascii="宋体" w:hAnsi="宋体" w:eastAsia="宋体"/>
          <w:highlight w:val="none"/>
          <w:lang w:val="en-US" w:eastAsia="zh-CN"/>
        </w:rPr>
        <w:t>3个包：</w:t>
      </w:r>
    </w:p>
    <w:p>
      <w:pPr>
        <w:pStyle w:val="6"/>
        <w:spacing w:before="187" w:line="240" w:lineRule="auto"/>
        <w:ind w:left="620" w:right="0" w:firstLine="120" w:firstLineChars="100"/>
        <w:jc w:val="left"/>
        <w:rPr>
          <w:rFonts w:hint="eastAsia" w:ascii="宋体" w:hAnsi="宋体" w:eastAsia="宋体" w:cstheme="minorBidi"/>
          <w:sz w:val="24"/>
          <w:szCs w:val="24"/>
          <w:highlight w:val="none"/>
          <w:lang w:val="en-US" w:eastAsia="zh-CN" w:bidi="ar-SA"/>
        </w:rPr>
      </w:pPr>
      <w:r>
        <w:rPr>
          <w:rFonts w:hint="eastAsia"/>
          <w:spacing w:val="-60"/>
          <w:highlight w:val="none"/>
          <w:lang w:val="en-US" w:eastAsia="zh-CN"/>
        </w:rPr>
        <w:t xml:space="preserve">      </w:t>
      </w:r>
      <w:r>
        <w:rPr>
          <w:rFonts w:hint="eastAsia" w:ascii="宋体" w:hAnsi="宋体" w:eastAsia="宋体" w:cstheme="minorBidi"/>
          <w:sz w:val="24"/>
          <w:szCs w:val="24"/>
          <w:highlight w:val="none"/>
          <w:lang w:val="en-US" w:eastAsia="zh-CN" w:bidi="ar-SA"/>
        </w:rPr>
        <w:t xml:space="preserve"> A包：官渡镇党庄村日光温室建设设备及配套设施，具体详见招标文件要求；</w:t>
      </w:r>
    </w:p>
    <w:p>
      <w:pPr>
        <w:pStyle w:val="6"/>
        <w:spacing w:before="187" w:line="240" w:lineRule="auto"/>
        <w:ind w:left="620" w:right="0" w:firstLine="240" w:firstLineChars="100"/>
        <w:jc w:val="left"/>
        <w:rPr>
          <w:rFonts w:hint="eastAsia"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 xml:space="preserve">   B包：农产品冷藏库建设项目制冷设备及配套设施，具体详见招标文件要求；</w:t>
      </w:r>
    </w:p>
    <w:p>
      <w:pPr>
        <w:pStyle w:val="6"/>
        <w:spacing w:before="187" w:line="240" w:lineRule="auto"/>
        <w:ind w:left="620" w:right="0" w:firstLine="240" w:firstLineChars="100"/>
        <w:jc w:val="left"/>
        <w:rPr>
          <w:rFonts w:hint="default" w:ascii="宋体" w:hAnsi="宋体" w:eastAsia="宋体" w:cstheme="minorBidi"/>
          <w:sz w:val="24"/>
          <w:szCs w:val="24"/>
          <w:highlight w:val="none"/>
          <w:lang w:val="en-US" w:eastAsia="zh-CN" w:bidi="ar-SA"/>
        </w:rPr>
      </w:pPr>
      <w:r>
        <w:rPr>
          <w:rFonts w:hint="eastAsia" w:ascii="宋体" w:hAnsi="宋体" w:eastAsia="宋体" w:cstheme="minorBidi"/>
          <w:sz w:val="24"/>
          <w:szCs w:val="24"/>
          <w:highlight w:val="none"/>
          <w:lang w:val="en-US" w:eastAsia="zh-CN" w:bidi="ar-SA"/>
        </w:rPr>
        <w:t xml:space="preserve">  </w:t>
      </w:r>
      <w:r>
        <w:rPr>
          <w:rFonts w:hint="eastAsia" w:cstheme="minorBidi"/>
          <w:sz w:val="24"/>
          <w:szCs w:val="24"/>
          <w:highlight w:val="none"/>
          <w:lang w:val="en-US" w:eastAsia="zh-CN" w:bidi="ar-SA"/>
        </w:rPr>
        <w:t xml:space="preserve"> C</w:t>
      </w:r>
      <w:r>
        <w:rPr>
          <w:rFonts w:hint="eastAsia" w:ascii="宋体" w:hAnsi="宋体" w:eastAsia="宋体" w:cstheme="minorBidi"/>
          <w:sz w:val="24"/>
          <w:szCs w:val="24"/>
          <w:highlight w:val="none"/>
          <w:lang w:val="en-US" w:eastAsia="zh-CN" w:bidi="ar-SA"/>
        </w:rPr>
        <w:t>包：酱菜腌制加工项目生产设备，具体详见招标文件要求；</w:t>
      </w:r>
    </w:p>
    <w:p>
      <w:pPr>
        <w:pStyle w:val="6"/>
        <w:spacing w:before="185" w:line="240" w:lineRule="auto"/>
        <w:ind w:left="620" w:right="0" w:firstLine="240" w:firstLineChars="100"/>
        <w:jc w:val="left"/>
        <w:rPr>
          <w:highlight w:val="none"/>
        </w:rPr>
      </w:pPr>
      <w:r>
        <w:rPr>
          <w:highlight w:val="none"/>
        </w:rPr>
        <w:t>5.</w:t>
      </w:r>
      <w:r>
        <w:rPr>
          <w:rFonts w:hint="eastAsia"/>
          <w:highlight w:val="none"/>
          <w:lang w:val="en-US" w:eastAsia="zh-CN"/>
        </w:rPr>
        <w:t>2</w:t>
      </w:r>
      <w:r>
        <w:rPr>
          <w:spacing w:val="-60"/>
          <w:highlight w:val="none"/>
        </w:rPr>
        <w:t xml:space="preserve"> </w:t>
      </w:r>
      <w:r>
        <w:rPr>
          <w:highlight w:val="none"/>
        </w:rPr>
        <w:t>质量要求：</w:t>
      </w:r>
      <w:r>
        <w:rPr>
          <w:rFonts w:hint="eastAsia"/>
          <w:highlight w:val="none"/>
        </w:rPr>
        <w:t>符合国家或行业规定的合格标准</w:t>
      </w:r>
      <w:r>
        <w:rPr>
          <w:rFonts w:hint="eastAsia"/>
          <w:highlight w:val="none"/>
          <w:lang w:eastAsia="zh-CN"/>
        </w:rPr>
        <w:t>，满足采购人的验收标准及要求</w:t>
      </w:r>
      <w:r>
        <w:rPr>
          <w:highlight w:val="none"/>
        </w:rPr>
        <w:t>；</w:t>
      </w:r>
    </w:p>
    <w:p>
      <w:pPr>
        <w:pStyle w:val="6"/>
        <w:spacing w:before="187" w:line="240" w:lineRule="auto"/>
        <w:ind w:left="620" w:right="0" w:firstLine="240" w:firstLineChars="100"/>
        <w:jc w:val="left"/>
        <w:rPr>
          <w:highlight w:val="none"/>
        </w:rPr>
      </w:pPr>
      <w:r>
        <w:rPr>
          <w:highlight w:val="none"/>
        </w:rPr>
        <w:t>5.</w:t>
      </w:r>
      <w:r>
        <w:rPr>
          <w:rFonts w:hint="eastAsia"/>
          <w:highlight w:val="none"/>
          <w:lang w:val="en-US" w:eastAsia="zh-CN"/>
        </w:rPr>
        <w:t>3</w:t>
      </w:r>
      <w:r>
        <w:rPr>
          <w:spacing w:val="-60"/>
          <w:highlight w:val="none"/>
        </w:rPr>
        <w:t xml:space="preserve"> </w:t>
      </w:r>
      <w:r>
        <w:rPr>
          <w:highlight w:val="none"/>
        </w:rPr>
        <w:t>交货及安装期：</w:t>
      </w:r>
      <w:r>
        <w:rPr>
          <w:color w:val="auto"/>
          <w:highlight w:val="none"/>
        </w:rPr>
        <w:t>自合同签订之日起</w:t>
      </w:r>
      <w:r>
        <w:rPr>
          <w:color w:val="auto"/>
          <w:spacing w:val="-60"/>
          <w:highlight w:val="none"/>
        </w:rPr>
        <w:t xml:space="preserve"> </w:t>
      </w:r>
      <w:r>
        <w:rPr>
          <w:rFonts w:hint="eastAsia"/>
          <w:color w:val="auto"/>
          <w:highlight w:val="none"/>
          <w:u w:val="none"/>
          <w:lang w:val="en-US" w:eastAsia="zh-CN"/>
        </w:rPr>
        <w:t>40</w:t>
      </w:r>
      <w:r>
        <w:rPr>
          <w:color w:val="auto"/>
          <w:highlight w:val="none"/>
        </w:rPr>
        <w:t>日历天</w:t>
      </w:r>
      <w:r>
        <w:rPr>
          <w:rFonts w:hint="eastAsia"/>
          <w:color w:val="auto"/>
          <w:highlight w:val="none"/>
          <w:lang w:eastAsia="zh-CN"/>
        </w:rPr>
        <w:t>安装调试完毕</w:t>
      </w:r>
      <w:r>
        <w:rPr>
          <w:highlight w:val="none"/>
        </w:rPr>
        <w:t>。</w:t>
      </w:r>
    </w:p>
    <w:p>
      <w:pPr>
        <w:pStyle w:val="6"/>
        <w:spacing w:before="185" w:line="240" w:lineRule="auto"/>
        <w:ind w:left="620" w:right="0" w:firstLine="240" w:firstLineChars="100"/>
        <w:jc w:val="left"/>
        <w:rPr>
          <w:rFonts w:hint="default" w:eastAsia="宋体"/>
          <w:highlight w:val="none"/>
          <w:lang w:val="en-US" w:eastAsia="zh-CN"/>
        </w:rPr>
      </w:pPr>
      <w:r>
        <w:rPr>
          <w:highlight w:val="none"/>
        </w:rPr>
        <w:t>5.</w:t>
      </w:r>
      <w:r>
        <w:rPr>
          <w:rFonts w:hint="eastAsia"/>
          <w:highlight w:val="none"/>
          <w:lang w:val="en-US" w:eastAsia="zh-CN"/>
        </w:rPr>
        <w:t>4</w:t>
      </w:r>
      <w:r>
        <w:rPr>
          <w:spacing w:val="-60"/>
          <w:highlight w:val="none"/>
        </w:rPr>
        <w:t xml:space="preserve"> </w:t>
      </w:r>
      <w:r>
        <w:rPr>
          <w:rFonts w:hint="eastAsia"/>
          <w:highlight w:val="none"/>
          <w:lang w:eastAsia="zh-CN"/>
        </w:rPr>
        <w:t>交货</w:t>
      </w:r>
      <w:r>
        <w:rPr>
          <w:highlight w:val="none"/>
        </w:rPr>
        <w:t>地点：</w:t>
      </w:r>
      <w:r>
        <w:rPr>
          <w:rFonts w:hint="eastAsia"/>
          <w:highlight w:val="none"/>
          <w:lang w:eastAsia="zh-CN"/>
        </w:rPr>
        <w:t>以</w:t>
      </w:r>
      <w:r>
        <w:rPr>
          <w:highlight w:val="none"/>
        </w:rPr>
        <w:t>采购人指定地点</w:t>
      </w:r>
      <w:r>
        <w:rPr>
          <w:rFonts w:hint="eastAsia"/>
          <w:highlight w:val="none"/>
          <w:lang w:eastAsia="zh-CN"/>
        </w:rPr>
        <w:t>为准</w:t>
      </w:r>
      <w:r>
        <w:rPr>
          <w:highlight w:val="none"/>
        </w:rPr>
        <w:t>；</w:t>
      </w:r>
    </w:p>
    <w:p>
      <w:pPr>
        <w:pStyle w:val="6"/>
        <w:spacing w:before="187" w:line="240" w:lineRule="auto"/>
        <w:ind w:right="0" w:firstLine="480" w:firstLineChars="200"/>
        <w:jc w:val="left"/>
        <w:rPr>
          <w:rFonts w:hint="eastAsia" w:ascii="宋体" w:hAnsi="宋体" w:eastAsia="宋体"/>
          <w:color w:val="auto"/>
          <w:highlight w:val="none"/>
          <w:lang w:eastAsia="zh-CN"/>
        </w:rPr>
      </w:pPr>
      <w:r>
        <w:rPr>
          <w:rFonts w:hint="eastAsia" w:ascii="宋体" w:hAnsi="宋体" w:eastAsia="宋体"/>
          <w:highlight w:val="none"/>
          <w:lang w:val="en-US" w:eastAsia="zh-CN"/>
        </w:rPr>
        <w:t>6.</w:t>
      </w:r>
      <w:r>
        <w:rPr>
          <w:rFonts w:hint="eastAsia" w:ascii="宋体" w:hAnsi="宋体" w:eastAsia="宋体"/>
          <w:highlight w:val="none"/>
          <w:lang w:eastAsia="zh-CN"/>
        </w:rPr>
        <w:t>合同履行期限：</w:t>
      </w:r>
      <w:r>
        <w:rPr>
          <w:color w:val="auto"/>
          <w:highlight w:val="none"/>
        </w:rPr>
        <w:t>自合同签订之日起</w:t>
      </w:r>
      <w:r>
        <w:rPr>
          <w:rFonts w:hint="eastAsia"/>
          <w:color w:val="auto"/>
          <w:highlight w:val="none"/>
          <w:lang w:val="en-US" w:eastAsia="zh-CN"/>
        </w:rPr>
        <w:t>40</w:t>
      </w:r>
      <w:r>
        <w:rPr>
          <w:color w:val="auto"/>
          <w:highlight w:val="none"/>
        </w:rPr>
        <w:t>日历天</w:t>
      </w:r>
      <w:r>
        <w:rPr>
          <w:rFonts w:hint="eastAsia"/>
          <w:color w:val="auto"/>
          <w:highlight w:val="none"/>
          <w:lang w:eastAsia="zh-CN"/>
        </w:rPr>
        <w:t>安装调试完毕</w:t>
      </w:r>
      <w:r>
        <w:rPr>
          <w:color w:val="auto"/>
          <w:highlight w:val="none"/>
        </w:rPr>
        <w:t>。</w:t>
      </w:r>
    </w:p>
    <w:p>
      <w:pPr>
        <w:pStyle w:val="6"/>
        <w:spacing w:before="185" w:line="240" w:lineRule="auto"/>
        <w:ind w:right="0" w:firstLine="480" w:firstLineChars="200"/>
        <w:jc w:val="left"/>
        <w:rPr>
          <w:highlight w:val="none"/>
        </w:rPr>
      </w:pPr>
      <w:r>
        <w:rPr>
          <w:rFonts w:hint="eastAsia"/>
          <w:highlight w:val="none"/>
          <w:lang w:val="en-US" w:eastAsia="zh-CN"/>
        </w:rPr>
        <w:t>7.</w:t>
      </w:r>
      <w:r>
        <w:rPr>
          <w:highlight w:val="none"/>
        </w:rPr>
        <w:t>本项目是否接受联合体投标：否</w:t>
      </w:r>
    </w:p>
    <w:p>
      <w:pPr>
        <w:pStyle w:val="6"/>
        <w:spacing w:before="187" w:line="381" w:lineRule="auto"/>
        <w:ind w:right="4206" w:firstLine="480"/>
        <w:jc w:val="left"/>
        <w:rPr>
          <w:highlight w:val="none"/>
        </w:rPr>
      </w:pPr>
      <w:r>
        <w:rPr>
          <w:rFonts w:hint="eastAsia"/>
          <w:highlight w:val="none"/>
          <w:lang w:val="en-US" w:eastAsia="zh-CN"/>
        </w:rPr>
        <w:t>8</w:t>
      </w:r>
      <w:r>
        <w:rPr>
          <w:spacing w:val="-60"/>
          <w:highlight w:val="none"/>
        </w:rPr>
        <w:t xml:space="preserve"> </w:t>
      </w:r>
      <w:r>
        <w:rPr>
          <w:rFonts w:hint="eastAsia"/>
          <w:spacing w:val="-60"/>
          <w:highlight w:val="none"/>
          <w:lang w:val="en-US" w:eastAsia="zh-CN"/>
        </w:rPr>
        <w:t>.</w:t>
      </w:r>
      <w:r>
        <w:rPr>
          <w:highlight w:val="none"/>
        </w:rPr>
        <w:t xml:space="preserve">是否接受进口产品：否 </w:t>
      </w:r>
    </w:p>
    <w:p>
      <w:pPr>
        <w:pStyle w:val="6"/>
        <w:spacing w:before="187" w:line="381" w:lineRule="auto"/>
        <w:ind w:right="4206" w:firstLine="480"/>
        <w:jc w:val="left"/>
        <w:rPr>
          <w:highlight w:val="none"/>
        </w:rPr>
      </w:pPr>
      <w:r>
        <w:rPr>
          <w:highlight w:val="none"/>
        </w:rPr>
        <w:t>二、申请人的资格要求</w:t>
      </w:r>
    </w:p>
    <w:p>
      <w:pPr>
        <w:pStyle w:val="6"/>
        <w:spacing w:before="43" w:line="240" w:lineRule="auto"/>
        <w:ind w:left="620" w:right="0"/>
        <w:jc w:val="left"/>
        <w:rPr>
          <w:highlight w:val="none"/>
        </w:rPr>
      </w:pPr>
      <w:r>
        <w:rPr>
          <w:highlight w:val="none"/>
        </w:rPr>
        <w:t>1.满足《中华人民共和国政府采购法》第二十二条规定；</w:t>
      </w:r>
    </w:p>
    <w:p>
      <w:pPr>
        <w:pStyle w:val="6"/>
        <w:spacing w:before="187" w:line="381" w:lineRule="auto"/>
        <w:ind w:left="620" w:right="6"/>
        <w:jc w:val="left"/>
        <w:rPr>
          <w:highlight w:val="none"/>
        </w:rPr>
      </w:pPr>
      <w:r>
        <w:rPr>
          <w:highlight w:val="none"/>
        </w:rPr>
        <w:t>2.落实政府采购政策满足的资格要求：本项目执行优先采购节能环保、环境标志性产品，</w:t>
      </w:r>
    </w:p>
    <w:p>
      <w:pPr>
        <w:pStyle w:val="6"/>
        <w:keepNext w:val="0"/>
        <w:keepLines w:val="0"/>
        <w:pageBreakBefore w:val="0"/>
        <w:widowControl w:val="0"/>
        <w:kinsoku/>
        <w:wordWrap/>
        <w:overflowPunct/>
        <w:topLinePunct w:val="0"/>
        <w:autoSpaceDE/>
        <w:autoSpaceDN/>
        <w:bidi w:val="0"/>
        <w:adjustRightInd/>
        <w:snapToGrid/>
        <w:spacing w:before="43" w:line="360" w:lineRule="auto"/>
        <w:ind w:right="192"/>
        <w:jc w:val="both"/>
        <w:textAlignment w:val="auto"/>
        <w:rPr>
          <w:highlight w:val="none"/>
        </w:rPr>
      </w:pPr>
      <w:r>
        <w:rPr>
          <w:spacing w:val="-3"/>
          <w:highlight w:val="none"/>
        </w:rPr>
        <w:t>扶持不发达地区和少数民族地区，促进中小企业、监狱企业、残疾人福利性企业发展等（详见</w:t>
      </w:r>
      <w:r>
        <w:rPr>
          <w:spacing w:val="-87"/>
          <w:highlight w:val="none"/>
        </w:rPr>
        <w:t xml:space="preserve"> </w:t>
      </w:r>
      <w:r>
        <w:rPr>
          <w:highlight w:val="none"/>
        </w:rPr>
        <w:t>招标文件）。</w:t>
      </w:r>
    </w:p>
    <w:p>
      <w:pPr>
        <w:pStyle w:val="6"/>
        <w:keepNext w:val="0"/>
        <w:keepLines w:val="0"/>
        <w:pageBreakBefore w:val="0"/>
        <w:widowControl w:val="0"/>
        <w:kinsoku/>
        <w:wordWrap/>
        <w:overflowPunct/>
        <w:topLinePunct w:val="0"/>
        <w:autoSpaceDE/>
        <w:autoSpaceDN/>
        <w:bidi w:val="0"/>
        <w:adjustRightInd/>
        <w:snapToGrid/>
        <w:spacing w:before="41" w:line="360" w:lineRule="auto"/>
        <w:ind w:left="620" w:right="6"/>
        <w:jc w:val="left"/>
        <w:textAlignment w:val="auto"/>
        <w:rPr>
          <w:highlight w:val="none"/>
        </w:rPr>
      </w:pPr>
      <w:r>
        <w:rPr>
          <w:highlight w:val="none"/>
        </w:rPr>
        <w:t>3.本项目的特定资格要求：</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highlight w:val="none"/>
        </w:rPr>
      </w:pPr>
      <w:r>
        <w:rPr>
          <w:rFonts w:hint="eastAsia"/>
          <w:highlight w:val="none"/>
        </w:rPr>
        <w:t>（</w:t>
      </w:r>
      <w:r>
        <w:rPr>
          <w:rFonts w:hint="eastAsia"/>
          <w:highlight w:val="none"/>
          <w:lang w:val="en-US" w:eastAsia="zh-CN"/>
        </w:rPr>
        <w:t>1</w:t>
      </w:r>
      <w:r>
        <w:rPr>
          <w:rFonts w:hint="eastAsia"/>
          <w:highlight w:val="none"/>
        </w:rPr>
        <w:t>）具有独立承担民事责任的能力，提供有效的营业执照、组织机构代码证、税务登记证（或三证合一的营业执照）；</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highlight w:val="none"/>
        </w:rPr>
      </w:pPr>
      <w:r>
        <w:rPr>
          <w:rFonts w:hint="eastAsia"/>
          <w:highlight w:val="none"/>
        </w:rPr>
        <w:t>（</w:t>
      </w:r>
      <w:r>
        <w:rPr>
          <w:rFonts w:hint="eastAsia"/>
          <w:highlight w:val="none"/>
          <w:lang w:val="en-US" w:eastAsia="zh-CN"/>
        </w:rPr>
        <w:t>2</w:t>
      </w:r>
      <w:r>
        <w:rPr>
          <w:rFonts w:hint="eastAsia"/>
          <w:highlight w:val="none"/>
        </w:rPr>
        <w:t>）具有良好的商业信誉和健全的财务会计制度，</w:t>
      </w:r>
      <w:r>
        <w:rPr>
          <w:rFonts w:hint="eastAsia"/>
          <w:color w:val="auto"/>
          <w:highlight w:val="none"/>
        </w:rPr>
        <w:t>提供2020年度经会计师事务所或审计机构审计的年度财务审计报告或基本户开户行出具的资信证明</w:t>
      </w:r>
      <w:r>
        <w:rPr>
          <w:rFonts w:hint="eastAsia"/>
          <w:highlight w:val="none"/>
        </w:rPr>
        <w:t>；</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highlight w:val="none"/>
        </w:rPr>
      </w:pPr>
      <w:r>
        <w:rPr>
          <w:rFonts w:hint="eastAsia"/>
          <w:highlight w:val="none"/>
        </w:rPr>
        <w:t>（</w:t>
      </w:r>
      <w:r>
        <w:rPr>
          <w:rFonts w:hint="eastAsia"/>
          <w:highlight w:val="none"/>
          <w:lang w:val="en-US" w:eastAsia="zh-CN"/>
        </w:rPr>
        <w:t>3</w:t>
      </w:r>
      <w:r>
        <w:rPr>
          <w:rFonts w:hint="eastAsia"/>
          <w:highlight w:val="none"/>
        </w:rPr>
        <w:t>）具有履行合同所必需的设备和专业技术能力，提供具有履行合同所必需的设备和专业技术能力的相关证明材料或书面声明；</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highlight w:val="none"/>
        </w:rPr>
      </w:pPr>
      <w:r>
        <w:rPr>
          <w:rFonts w:hint="eastAsia"/>
          <w:highlight w:val="none"/>
        </w:rPr>
        <w:t>（</w:t>
      </w:r>
      <w:r>
        <w:rPr>
          <w:rFonts w:hint="eastAsia"/>
          <w:highlight w:val="none"/>
          <w:lang w:val="en-US" w:eastAsia="zh-CN"/>
        </w:rPr>
        <w:t>4</w:t>
      </w:r>
      <w:r>
        <w:rPr>
          <w:rFonts w:hint="eastAsia"/>
          <w:highlight w:val="none"/>
        </w:rPr>
        <w:t>）有依法缴纳税收和社会保障资金的良好记录,</w:t>
      </w:r>
      <w:r>
        <w:rPr>
          <w:rFonts w:hint="eastAsia"/>
          <w:color w:val="auto"/>
          <w:highlight w:val="none"/>
        </w:rPr>
        <w:t>提供2021年以来任意1个月依法缴纳税收及依法缴纳社会保障资金的证明材料；(依法免</w:t>
      </w:r>
      <w:r>
        <w:rPr>
          <w:rFonts w:hint="eastAsia"/>
          <w:highlight w:val="none"/>
        </w:rPr>
        <w:t>税或不需要缴纳社会保障资金的供应商，应提供相应证明文件）</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left"/>
        <w:textAlignment w:val="auto"/>
        <w:rPr>
          <w:rFonts w:hint="eastAsia"/>
          <w:highlight w:val="none"/>
        </w:rPr>
      </w:pPr>
      <w:r>
        <w:rPr>
          <w:rFonts w:hint="eastAsia"/>
          <w:highlight w:val="none"/>
        </w:rPr>
        <w:t>（</w:t>
      </w:r>
      <w:r>
        <w:rPr>
          <w:rFonts w:hint="eastAsia"/>
          <w:highlight w:val="none"/>
          <w:lang w:val="en-US" w:eastAsia="zh-CN"/>
        </w:rPr>
        <w:t>5</w:t>
      </w:r>
      <w:r>
        <w:rPr>
          <w:rFonts w:hint="eastAsia"/>
          <w:highlight w:val="none"/>
        </w:rPr>
        <w:t>）参加政府采购活动前三年内，在经营活动中没有重大违法记录，提供没有重大违法记录书面声明；</w:t>
      </w:r>
    </w:p>
    <w:p>
      <w:pPr>
        <w:pStyle w:val="6"/>
        <w:keepNext w:val="0"/>
        <w:keepLines w:val="0"/>
        <w:pageBreakBefore w:val="0"/>
        <w:widowControl w:val="0"/>
        <w:kinsoku/>
        <w:wordWrap/>
        <w:overflowPunct/>
        <w:topLinePunct w:val="0"/>
        <w:autoSpaceDE/>
        <w:autoSpaceDN/>
        <w:bidi w:val="0"/>
        <w:adjustRightInd/>
        <w:snapToGrid/>
        <w:spacing w:before="185" w:line="360" w:lineRule="auto"/>
        <w:ind w:right="190" w:firstLine="460" w:firstLineChars="200"/>
        <w:jc w:val="both"/>
        <w:textAlignment w:val="auto"/>
        <w:rPr>
          <w:highlight w:val="none"/>
        </w:rPr>
      </w:pPr>
      <w:r>
        <w:rPr>
          <w:rFonts w:hint="eastAsia"/>
          <w:spacing w:val="-5"/>
          <w:highlight w:val="none"/>
          <w:lang w:eastAsia="zh-CN"/>
        </w:rPr>
        <w:t>（</w:t>
      </w:r>
      <w:r>
        <w:rPr>
          <w:rFonts w:hint="eastAsia"/>
          <w:spacing w:val="-5"/>
          <w:highlight w:val="none"/>
          <w:lang w:val="en-US" w:eastAsia="zh-CN"/>
        </w:rPr>
        <w:t>6</w:t>
      </w:r>
      <w:r>
        <w:rPr>
          <w:spacing w:val="-5"/>
          <w:highlight w:val="none"/>
        </w:rPr>
        <w:t>）根据《关于在政府采购活动中查询及使用信用记录有关问题的通知》(财库[2016]125</w:t>
      </w:r>
      <w:r>
        <w:rPr>
          <w:highlight w:val="none"/>
        </w:rPr>
        <w:t xml:space="preserve"> </w:t>
      </w:r>
      <w:r>
        <w:rPr>
          <w:spacing w:val="-4"/>
          <w:highlight w:val="none"/>
        </w:rPr>
        <w:t>号)和豫财购【2016】15</w:t>
      </w:r>
      <w:r>
        <w:rPr>
          <w:spacing w:val="-32"/>
          <w:highlight w:val="none"/>
        </w:rPr>
        <w:t xml:space="preserve"> </w:t>
      </w:r>
      <w:r>
        <w:rPr>
          <w:highlight w:val="none"/>
        </w:rPr>
        <w:t xml:space="preserve">号的规定，对列入失信被执行人和重大税收违法案件当事人名单（查 </w:t>
      </w:r>
      <w:r>
        <w:rPr>
          <w:spacing w:val="-7"/>
          <w:highlight w:val="none"/>
        </w:rPr>
        <w:t>询网址“信用中国”网</w:t>
      </w:r>
      <w:r>
        <w:rPr>
          <w:highlight w:val="none"/>
        </w:rPr>
        <w:fldChar w:fldCharType="begin"/>
      </w:r>
      <w:r>
        <w:rPr>
          <w:highlight w:val="none"/>
        </w:rPr>
        <w:instrText xml:space="preserve"> HYPERLINK "http://www.creditchina.gov.cn/" \h </w:instrText>
      </w:r>
      <w:r>
        <w:rPr>
          <w:highlight w:val="none"/>
        </w:rPr>
        <w:fldChar w:fldCharType="separate"/>
      </w:r>
      <w:r>
        <w:rPr>
          <w:spacing w:val="-7"/>
          <w:highlight w:val="none"/>
        </w:rPr>
        <w:t>（www.creditchina.gov.cn</w:t>
      </w:r>
      <w:r>
        <w:rPr>
          <w:spacing w:val="-7"/>
          <w:highlight w:val="none"/>
        </w:rPr>
        <w:fldChar w:fldCharType="end"/>
      </w:r>
      <w:r>
        <w:rPr>
          <w:spacing w:val="-7"/>
          <w:highlight w:val="none"/>
        </w:rPr>
        <w:t>）、政府采购严重违法失信行为记录名单（查</w:t>
      </w:r>
      <w:r>
        <w:rPr>
          <w:spacing w:val="-81"/>
          <w:highlight w:val="none"/>
        </w:rPr>
        <w:t xml:space="preserve"> </w:t>
      </w:r>
      <w:r>
        <w:rPr>
          <w:highlight w:val="none"/>
        </w:rPr>
        <w:t>询网址“中国政府采购”网（</w:t>
      </w:r>
      <w:r>
        <w:rPr>
          <w:highlight w:val="none"/>
        </w:rPr>
        <w:fldChar w:fldCharType="begin"/>
      </w:r>
      <w:r>
        <w:rPr>
          <w:highlight w:val="none"/>
        </w:rPr>
        <w:instrText xml:space="preserve"> HYPERLINK "http://www.ccgp.gov.cn/" \h </w:instrText>
      </w:r>
      <w:r>
        <w:rPr>
          <w:highlight w:val="none"/>
        </w:rPr>
        <w:fldChar w:fldCharType="separate"/>
      </w:r>
      <w:r>
        <w:rPr>
          <w:highlight w:val="none"/>
        </w:rPr>
        <w:t>www.ccgp.gov.cn</w:t>
      </w:r>
      <w:r>
        <w:rPr>
          <w:highlight w:val="none"/>
        </w:rPr>
        <w:fldChar w:fldCharType="end"/>
      </w:r>
      <w:r>
        <w:rPr>
          <w:highlight w:val="none"/>
        </w:rPr>
        <w:t>））的供应商拒绝其参与本项目。注：(采购人、代理机构在开标后对所有投标供应商信用记录进行查询，并将查询结果 网页打印存档，投标供应商不良信用记录以代理机构开标后查询结果为准。)</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0" w:leftChars="0" w:right="0" w:rightChars="0" w:firstLine="468" w:firstLineChars="200"/>
        <w:jc w:val="both"/>
        <w:textAlignment w:val="auto"/>
        <w:rPr>
          <w:highlight w:val="none"/>
        </w:rPr>
      </w:pPr>
      <w:r>
        <w:rPr>
          <w:rFonts w:hint="eastAsia"/>
          <w:spacing w:val="-3"/>
          <w:highlight w:val="none"/>
          <w:lang w:eastAsia="zh-CN"/>
        </w:rPr>
        <w:t>（</w:t>
      </w:r>
      <w:r>
        <w:rPr>
          <w:rFonts w:hint="eastAsia"/>
          <w:spacing w:val="-3"/>
          <w:highlight w:val="none"/>
          <w:lang w:val="en-US" w:eastAsia="zh-CN"/>
        </w:rPr>
        <w:t>7</w:t>
      </w:r>
      <w:r>
        <w:rPr>
          <w:rFonts w:hint="eastAsia"/>
          <w:spacing w:val="-3"/>
          <w:highlight w:val="none"/>
          <w:lang w:eastAsia="zh-CN"/>
        </w:rPr>
        <w:t>）</w:t>
      </w:r>
      <w:r>
        <w:rPr>
          <w:spacing w:val="-3"/>
          <w:highlight w:val="none"/>
        </w:rPr>
        <w:t>单位负责人为同一人或者存在控股、管理关系的不同单位，不得同时参加本次同一合同项下采购活动【提供“国家企业信用信息公示系统”中查询网页截图</w:t>
      </w:r>
      <w:r>
        <w:rPr>
          <w:highlight w:val="none"/>
        </w:rPr>
        <w:t xml:space="preserve">（需包含公司基本信息、股东信息及股权变更信息）】； </w:t>
      </w:r>
    </w:p>
    <w:p>
      <w:pPr>
        <w:pStyle w:val="6"/>
        <w:numPr>
          <w:ilvl w:val="0"/>
          <w:numId w:val="0"/>
        </w:numPr>
        <w:spacing w:before="43" w:line="381" w:lineRule="auto"/>
        <w:ind w:left="860" w:leftChars="0" w:right="190" w:rightChars="0"/>
        <w:jc w:val="both"/>
        <w:rPr>
          <w:highlight w:val="none"/>
        </w:rPr>
      </w:pPr>
      <w:r>
        <w:rPr>
          <w:rFonts w:hint="eastAsia" w:ascii="宋体" w:hAnsi="宋体" w:cs="宋体"/>
          <w:b/>
          <w:bCs/>
          <w:szCs w:val="21"/>
          <w:highlight w:val="none"/>
        </w:rPr>
        <w:t>注：</w:t>
      </w:r>
      <w:r>
        <w:rPr>
          <w:rFonts w:hint="eastAsia" w:ascii="宋体" w:hAnsi="宋体" w:cs="宋体"/>
          <w:b/>
          <w:bCs/>
          <w:szCs w:val="21"/>
          <w:highlight w:val="none"/>
          <w:lang w:eastAsia="zh-CN"/>
        </w:rPr>
        <w:t>各</w:t>
      </w:r>
      <w:r>
        <w:rPr>
          <w:rFonts w:hint="eastAsia" w:ascii="宋体" w:hAnsi="宋体" w:cs="宋体"/>
          <w:b/>
          <w:bCs/>
          <w:kern w:val="0"/>
          <w:szCs w:val="21"/>
          <w:highlight w:val="none"/>
          <w:lang w:bidi="ar"/>
        </w:rPr>
        <w:t>投标人只能</w:t>
      </w:r>
      <w:r>
        <w:rPr>
          <w:rFonts w:hint="eastAsia" w:ascii="宋体" w:hAnsi="宋体" w:cs="宋体"/>
          <w:b/>
          <w:bCs/>
          <w:kern w:val="0"/>
          <w:szCs w:val="21"/>
          <w:highlight w:val="none"/>
          <w:lang w:eastAsia="zh-CN" w:bidi="ar"/>
        </w:rPr>
        <w:t>投报</w:t>
      </w:r>
      <w:r>
        <w:rPr>
          <w:rFonts w:hint="eastAsia" w:ascii="宋体" w:hAnsi="宋体" w:cs="宋体"/>
          <w:b/>
          <w:bCs/>
          <w:kern w:val="0"/>
          <w:szCs w:val="21"/>
          <w:highlight w:val="none"/>
          <w:lang w:bidi="ar"/>
        </w:rPr>
        <w:t>一个</w:t>
      </w:r>
      <w:r>
        <w:rPr>
          <w:rFonts w:hint="eastAsia" w:cs="宋体"/>
          <w:b/>
          <w:bCs/>
          <w:kern w:val="0"/>
          <w:szCs w:val="21"/>
          <w:highlight w:val="none"/>
          <w:lang w:eastAsia="zh-CN" w:bidi="ar"/>
        </w:rPr>
        <w:t>包</w:t>
      </w:r>
      <w:r>
        <w:rPr>
          <w:rFonts w:hint="eastAsia" w:ascii="宋体" w:hAnsi="宋体" w:cs="宋体"/>
          <w:b/>
          <w:bCs/>
          <w:kern w:val="0"/>
          <w:szCs w:val="21"/>
          <w:highlight w:val="none"/>
          <w:lang w:bidi="ar"/>
        </w:rPr>
        <w:t>。</w:t>
      </w:r>
    </w:p>
    <w:p>
      <w:pPr>
        <w:pStyle w:val="6"/>
        <w:spacing w:before="41" w:line="240" w:lineRule="auto"/>
        <w:ind w:right="0"/>
        <w:jc w:val="both"/>
        <w:rPr>
          <w:highlight w:val="none"/>
        </w:rPr>
      </w:pPr>
      <w:r>
        <w:rPr>
          <w:highlight w:val="none"/>
        </w:rPr>
        <w:t>三、获取采购文件</w:t>
      </w:r>
    </w:p>
    <w:p>
      <w:pPr>
        <w:pStyle w:val="6"/>
        <w:spacing w:before="185" w:line="240" w:lineRule="auto"/>
        <w:ind w:left="620" w:right="6"/>
        <w:jc w:val="left"/>
        <w:rPr>
          <w:highlight w:val="none"/>
        </w:rPr>
      </w:pPr>
      <w:r>
        <w:rPr>
          <w:highlight w:val="none"/>
        </w:rPr>
        <w:t>1.时间：2021</w:t>
      </w:r>
      <w:r>
        <w:rPr>
          <w:spacing w:val="-60"/>
          <w:highlight w:val="none"/>
        </w:rPr>
        <w:t xml:space="preserve"> </w:t>
      </w:r>
      <w:r>
        <w:rPr>
          <w:highlight w:val="none"/>
        </w:rPr>
        <w:t>年</w:t>
      </w:r>
      <w:r>
        <w:rPr>
          <w:rFonts w:hint="eastAsia"/>
          <w:highlight w:val="none"/>
          <w:lang w:val="en-US" w:eastAsia="zh-CN"/>
        </w:rPr>
        <w:t>7</w:t>
      </w:r>
      <w:r>
        <w:rPr>
          <w:highlight w:val="none"/>
        </w:rPr>
        <w:t>月</w:t>
      </w:r>
      <w:r>
        <w:rPr>
          <w:rFonts w:hint="eastAsia"/>
          <w:highlight w:val="none"/>
          <w:lang w:val="en-US" w:eastAsia="zh-CN"/>
        </w:rPr>
        <w:t>30</w:t>
      </w:r>
      <w:r>
        <w:rPr>
          <w:highlight w:val="none"/>
        </w:rPr>
        <w:t>日至2021年</w:t>
      </w:r>
      <w:r>
        <w:rPr>
          <w:rFonts w:hint="eastAsia"/>
          <w:highlight w:val="none"/>
          <w:lang w:val="en-US" w:eastAsia="zh-CN"/>
        </w:rPr>
        <w:t>8</w:t>
      </w:r>
      <w:r>
        <w:rPr>
          <w:highlight w:val="none"/>
        </w:rPr>
        <w:t>月</w:t>
      </w:r>
      <w:r>
        <w:rPr>
          <w:rFonts w:hint="eastAsia"/>
          <w:highlight w:val="none"/>
          <w:lang w:val="en-US" w:eastAsia="zh-CN"/>
        </w:rPr>
        <w:t>5</w:t>
      </w:r>
      <w:r>
        <w:rPr>
          <w:highlight w:val="none"/>
        </w:rPr>
        <w:t>日，每天上午</w:t>
      </w:r>
      <w:r>
        <w:rPr>
          <w:spacing w:val="-60"/>
          <w:highlight w:val="none"/>
        </w:rPr>
        <w:t xml:space="preserve"> </w:t>
      </w:r>
      <w:r>
        <w:rPr>
          <w:highlight w:val="none"/>
        </w:rPr>
        <w:t>8:00</w:t>
      </w:r>
      <w:r>
        <w:rPr>
          <w:spacing w:val="-60"/>
          <w:highlight w:val="none"/>
        </w:rPr>
        <w:t xml:space="preserve"> </w:t>
      </w:r>
      <w:r>
        <w:rPr>
          <w:highlight w:val="none"/>
        </w:rPr>
        <w:t>至</w:t>
      </w:r>
      <w:r>
        <w:rPr>
          <w:spacing w:val="-60"/>
          <w:highlight w:val="none"/>
        </w:rPr>
        <w:t xml:space="preserve"> </w:t>
      </w:r>
      <w:r>
        <w:rPr>
          <w:highlight w:val="none"/>
        </w:rPr>
        <w:t>12:00,下午</w:t>
      </w:r>
      <w:r>
        <w:rPr>
          <w:spacing w:val="-60"/>
          <w:highlight w:val="none"/>
        </w:rPr>
        <w:t xml:space="preserve"> </w:t>
      </w:r>
      <w:r>
        <w:rPr>
          <w:highlight w:val="none"/>
        </w:rPr>
        <w:t>12:00</w:t>
      </w:r>
      <w:r>
        <w:rPr>
          <w:spacing w:val="-60"/>
          <w:highlight w:val="none"/>
        </w:rPr>
        <w:t xml:space="preserve"> </w:t>
      </w:r>
      <w:r>
        <w:rPr>
          <w:highlight w:val="none"/>
        </w:rPr>
        <w:t>至</w:t>
      </w:r>
    </w:p>
    <w:p>
      <w:pPr>
        <w:pStyle w:val="6"/>
        <w:spacing w:before="187" w:line="240" w:lineRule="auto"/>
        <w:ind w:right="0"/>
        <w:jc w:val="both"/>
        <w:rPr>
          <w:highlight w:val="none"/>
        </w:rPr>
      </w:pPr>
      <w:r>
        <w:rPr>
          <w:highlight w:val="none"/>
        </w:rPr>
        <w:t>17:30(北京时间,法定节假日除外)</w:t>
      </w:r>
    </w:p>
    <w:p>
      <w:pPr>
        <w:pStyle w:val="6"/>
        <w:spacing w:before="185" w:line="240" w:lineRule="auto"/>
        <w:ind w:left="620" w:right="6"/>
        <w:jc w:val="left"/>
        <w:rPr>
          <w:highlight w:val="none"/>
        </w:rPr>
      </w:pPr>
      <w:r>
        <w:rPr>
          <w:highlight w:val="none"/>
        </w:rPr>
        <w:t>2.</w:t>
      </w:r>
      <w:r>
        <w:rPr>
          <w:spacing w:val="-20"/>
          <w:highlight w:val="none"/>
        </w:rPr>
        <w:t xml:space="preserve"> </w:t>
      </w:r>
      <w:r>
        <w:rPr>
          <w:highlight w:val="none"/>
        </w:rPr>
        <w:t>地</w:t>
      </w:r>
      <w:r>
        <w:rPr>
          <w:spacing w:val="-17"/>
          <w:highlight w:val="none"/>
        </w:rPr>
        <w:t xml:space="preserve"> </w:t>
      </w:r>
      <w:r>
        <w:rPr>
          <w:highlight w:val="none"/>
        </w:rPr>
        <w:t>点</w:t>
      </w:r>
      <w:r>
        <w:rPr>
          <w:spacing w:val="-17"/>
          <w:highlight w:val="none"/>
        </w:rPr>
        <w:t xml:space="preserve"> </w:t>
      </w:r>
      <w:r>
        <w:rPr>
          <w:highlight w:val="none"/>
        </w:rPr>
        <w:t>：</w:t>
      </w:r>
      <w:r>
        <w:rPr>
          <w:spacing w:val="-20"/>
          <w:highlight w:val="none"/>
        </w:rPr>
        <w:t xml:space="preserve"> </w:t>
      </w:r>
      <w:r>
        <w:rPr>
          <w:highlight w:val="none"/>
        </w:rPr>
        <w:t>供</w:t>
      </w:r>
      <w:r>
        <w:rPr>
          <w:spacing w:val="-17"/>
          <w:highlight w:val="none"/>
        </w:rPr>
        <w:t xml:space="preserve"> </w:t>
      </w:r>
      <w:r>
        <w:rPr>
          <w:highlight w:val="none"/>
        </w:rPr>
        <w:t>应</w:t>
      </w:r>
      <w:r>
        <w:rPr>
          <w:spacing w:val="-17"/>
          <w:highlight w:val="none"/>
        </w:rPr>
        <w:t xml:space="preserve"> </w:t>
      </w:r>
      <w:r>
        <w:rPr>
          <w:highlight w:val="none"/>
        </w:rPr>
        <w:t>商</w:t>
      </w:r>
      <w:r>
        <w:rPr>
          <w:spacing w:val="-17"/>
          <w:highlight w:val="none"/>
        </w:rPr>
        <w:t xml:space="preserve"> </w:t>
      </w:r>
      <w:r>
        <w:rPr>
          <w:highlight w:val="none"/>
        </w:rPr>
        <w:t>凭</w:t>
      </w:r>
      <w:r>
        <w:rPr>
          <w:spacing w:val="-17"/>
          <w:highlight w:val="none"/>
        </w:rPr>
        <w:t xml:space="preserve"> </w:t>
      </w:r>
      <w:r>
        <w:rPr>
          <w:highlight w:val="none"/>
        </w:rPr>
        <w:t>企</w:t>
      </w:r>
      <w:r>
        <w:rPr>
          <w:spacing w:val="-17"/>
          <w:highlight w:val="none"/>
        </w:rPr>
        <w:t xml:space="preserve"> </w:t>
      </w:r>
      <w:r>
        <w:rPr>
          <w:highlight w:val="none"/>
        </w:rPr>
        <w:t>业</w:t>
      </w:r>
      <w:r>
        <w:rPr>
          <w:spacing w:val="43"/>
          <w:highlight w:val="none"/>
        </w:rPr>
        <w:t xml:space="preserve"> </w:t>
      </w:r>
      <w:r>
        <w:rPr>
          <w:highlight w:val="none"/>
        </w:rPr>
        <w:t>CA</w:t>
      </w:r>
      <w:r>
        <w:rPr>
          <w:spacing w:val="43"/>
          <w:highlight w:val="none"/>
        </w:rPr>
        <w:t xml:space="preserve"> </w:t>
      </w:r>
      <w:r>
        <w:rPr>
          <w:highlight w:val="none"/>
        </w:rPr>
        <w:t>锁</w:t>
      </w:r>
      <w:r>
        <w:rPr>
          <w:spacing w:val="-17"/>
          <w:highlight w:val="none"/>
        </w:rPr>
        <w:t xml:space="preserve"> </w:t>
      </w:r>
      <w:r>
        <w:rPr>
          <w:highlight w:val="none"/>
        </w:rPr>
        <w:t>登</w:t>
      </w:r>
      <w:r>
        <w:rPr>
          <w:spacing w:val="-17"/>
          <w:highlight w:val="none"/>
        </w:rPr>
        <w:t xml:space="preserve"> </w:t>
      </w:r>
      <w:r>
        <w:rPr>
          <w:highlight w:val="none"/>
        </w:rPr>
        <w:t>录</w:t>
      </w:r>
      <w:r>
        <w:rPr>
          <w:spacing w:val="-20"/>
          <w:highlight w:val="none"/>
        </w:rPr>
        <w:t xml:space="preserve"> </w:t>
      </w:r>
      <w:r>
        <w:rPr>
          <w:highlight w:val="none"/>
        </w:rPr>
        <w:t>中</w:t>
      </w:r>
      <w:r>
        <w:rPr>
          <w:spacing w:val="-17"/>
          <w:highlight w:val="none"/>
        </w:rPr>
        <w:t xml:space="preserve"> </w:t>
      </w:r>
      <w:r>
        <w:rPr>
          <w:highlight w:val="none"/>
        </w:rPr>
        <w:t>牟</w:t>
      </w:r>
      <w:r>
        <w:rPr>
          <w:spacing w:val="-17"/>
          <w:highlight w:val="none"/>
        </w:rPr>
        <w:t xml:space="preserve"> </w:t>
      </w:r>
      <w:r>
        <w:rPr>
          <w:highlight w:val="none"/>
        </w:rPr>
        <w:t>县</w:t>
      </w:r>
      <w:r>
        <w:rPr>
          <w:spacing w:val="-17"/>
          <w:highlight w:val="none"/>
        </w:rPr>
        <w:t xml:space="preserve"> </w:t>
      </w:r>
      <w:r>
        <w:rPr>
          <w:highlight w:val="none"/>
        </w:rPr>
        <w:t>公</w:t>
      </w:r>
      <w:r>
        <w:rPr>
          <w:spacing w:val="-17"/>
          <w:highlight w:val="none"/>
        </w:rPr>
        <w:t xml:space="preserve"> </w:t>
      </w:r>
      <w:r>
        <w:rPr>
          <w:highlight w:val="none"/>
        </w:rPr>
        <w:t>共</w:t>
      </w:r>
      <w:r>
        <w:rPr>
          <w:spacing w:val="-17"/>
          <w:highlight w:val="none"/>
        </w:rPr>
        <w:t xml:space="preserve"> </w:t>
      </w:r>
      <w:r>
        <w:rPr>
          <w:highlight w:val="none"/>
        </w:rPr>
        <w:t>资</w:t>
      </w:r>
      <w:r>
        <w:rPr>
          <w:spacing w:val="-20"/>
          <w:highlight w:val="none"/>
        </w:rPr>
        <w:t xml:space="preserve"> </w:t>
      </w:r>
      <w:r>
        <w:rPr>
          <w:highlight w:val="none"/>
        </w:rPr>
        <w:t>源</w:t>
      </w:r>
      <w:r>
        <w:rPr>
          <w:spacing w:val="-17"/>
          <w:highlight w:val="none"/>
        </w:rPr>
        <w:t xml:space="preserve"> </w:t>
      </w:r>
      <w:r>
        <w:rPr>
          <w:highlight w:val="none"/>
        </w:rPr>
        <w:t>交</w:t>
      </w:r>
      <w:r>
        <w:rPr>
          <w:spacing w:val="-17"/>
          <w:highlight w:val="none"/>
        </w:rPr>
        <w:t xml:space="preserve"> </w:t>
      </w:r>
      <w:r>
        <w:rPr>
          <w:highlight w:val="none"/>
        </w:rPr>
        <w:t>易</w:t>
      </w:r>
      <w:r>
        <w:rPr>
          <w:spacing w:val="-17"/>
          <w:highlight w:val="none"/>
        </w:rPr>
        <w:t xml:space="preserve"> </w:t>
      </w:r>
      <w:r>
        <w:rPr>
          <w:highlight w:val="none"/>
        </w:rPr>
        <w:t>中</w:t>
      </w:r>
      <w:r>
        <w:rPr>
          <w:spacing w:val="-17"/>
          <w:highlight w:val="none"/>
        </w:rPr>
        <w:t xml:space="preserve"> </w:t>
      </w:r>
      <w:r>
        <w:rPr>
          <w:highlight w:val="none"/>
        </w:rPr>
        <w:t>心</w:t>
      </w:r>
      <w:r>
        <w:rPr>
          <w:spacing w:val="-20"/>
          <w:highlight w:val="none"/>
        </w:rPr>
        <w:t xml:space="preserve"> </w:t>
      </w:r>
      <w:r>
        <w:rPr>
          <w:highlight w:val="none"/>
        </w:rPr>
        <w:t>网</w:t>
      </w:r>
      <w:r>
        <w:rPr>
          <w:spacing w:val="-17"/>
          <w:highlight w:val="none"/>
        </w:rPr>
        <w:t xml:space="preserve"> </w:t>
      </w:r>
      <w:r>
        <w:rPr>
          <w:highlight w:val="none"/>
        </w:rPr>
        <w:t>站</w:t>
      </w:r>
    </w:p>
    <w:p>
      <w:pPr>
        <w:pStyle w:val="6"/>
        <w:spacing w:before="185" w:line="384" w:lineRule="auto"/>
        <w:ind w:right="192"/>
        <w:jc w:val="both"/>
        <w:rPr>
          <w:highlight w:val="none"/>
        </w:rPr>
      </w:pPr>
      <w:r>
        <w:rPr>
          <w:highlight w:val="none"/>
        </w:rPr>
        <w:t>（</w:t>
      </w:r>
      <w:r>
        <w:rPr>
          <w:highlight w:val="none"/>
        </w:rPr>
        <w:fldChar w:fldCharType="begin"/>
      </w:r>
      <w:r>
        <w:rPr>
          <w:highlight w:val="none"/>
        </w:rPr>
        <w:instrText xml:space="preserve"> HYPERLINK "http://www.zmxggzy.com/" \h </w:instrText>
      </w:r>
      <w:r>
        <w:rPr>
          <w:highlight w:val="none"/>
        </w:rPr>
        <w:fldChar w:fldCharType="separate"/>
      </w:r>
      <w:r>
        <w:rPr>
          <w:highlight w:val="none"/>
        </w:rPr>
        <w:t>http://www.zmxggzy.com/</w:t>
      </w:r>
      <w:r>
        <w:rPr>
          <w:highlight w:val="none"/>
        </w:rPr>
        <w:fldChar w:fldCharType="end"/>
      </w:r>
      <w:r>
        <w:rPr>
          <w:highlight w:val="none"/>
        </w:rPr>
        <w:t>），点击“交易主体登陆”下载所含格式（.ZMZF</w:t>
      </w:r>
      <w:r>
        <w:rPr>
          <w:spacing w:val="-13"/>
          <w:highlight w:val="none"/>
        </w:rPr>
        <w:t xml:space="preserve"> </w:t>
      </w:r>
      <w:r>
        <w:rPr>
          <w:spacing w:val="2"/>
          <w:highlight w:val="none"/>
        </w:rPr>
        <w:t>格式）的本项</w:t>
      </w:r>
      <w:r>
        <w:rPr>
          <w:spacing w:val="-104"/>
          <w:highlight w:val="none"/>
        </w:rPr>
        <w:t xml:space="preserve"> </w:t>
      </w:r>
      <w:r>
        <w:rPr>
          <w:highlight w:val="none"/>
        </w:rPr>
        <w:t>目的招标文件及资料。</w:t>
      </w:r>
    </w:p>
    <w:p>
      <w:pPr>
        <w:pStyle w:val="6"/>
        <w:spacing w:before="41" w:line="240" w:lineRule="auto"/>
        <w:ind w:left="620" w:right="6"/>
        <w:jc w:val="left"/>
        <w:rPr>
          <w:highlight w:val="none"/>
        </w:rPr>
      </w:pPr>
      <w:r>
        <w:rPr>
          <w:spacing w:val="-3"/>
          <w:highlight w:val="none"/>
        </w:rPr>
        <w:t>3.方式：凡有意参加本项目的供应商，下载招标文件需进入中牟县公共资源交易中心网站</w:t>
      </w:r>
    </w:p>
    <w:p>
      <w:pPr>
        <w:pStyle w:val="6"/>
        <w:spacing w:before="185" w:line="381" w:lineRule="auto"/>
        <w:ind w:right="190"/>
        <w:jc w:val="both"/>
        <w:rPr>
          <w:highlight w:val="none"/>
        </w:rPr>
      </w:pPr>
      <w:r>
        <w:rPr>
          <w:highlight w:val="none"/>
        </w:rPr>
        <w:fldChar w:fldCharType="begin"/>
      </w:r>
      <w:r>
        <w:rPr>
          <w:highlight w:val="none"/>
        </w:rPr>
        <w:instrText xml:space="preserve"> HYPERLINK "http://www.zmxggzy.com/" \h </w:instrText>
      </w:r>
      <w:r>
        <w:rPr>
          <w:highlight w:val="none"/>
        </w:rPr>
        <w:fldChar w:fldCharType="separate"/>
      </w:r>
      <w:r>
        <w:rPr>
          <w:spacing w:val="-2"/>
          <w:highlight w:val="none"/>
        </w:rPr>
        <w:t>（http://www.zmxggzy.com</w:t>
      </w:r>
      <w:r>
        <w:rPr>
          <w:spacing w:val="-2"/>
          <w:highlight w:val="none"/>
        </w:rPr>
        <w:fldChar w:fldCharType="end"/>
      </w:r>
      <w:r>
        <w:rPr>
          <w:spacing w:val="-2"/>
          <w:highlight w:val="none"/>
        </w:rPr>
        <w:t>），进行投标人/供应商会员注册，（注册步骤详见办事指南-办事</w:t>
      </w:r>
      <w:r>
        <w:rPr>
          <w:spacing w:val="-104"/>
          <w:highlight w:val="none"/>
        </w:rPr>
        <w:t xml:space="preserve"> </w:t>
      </w:r>
      <w:r>
        <w:rPr>
          <w:spacing w:val="-3"/>
          <w:highlight w:val="none"/>
        </w:rPr>
        <w:t>流程），完成后需到中牟县公共资源交易中心进行现场审核，现场审核需携带相关资料原件及</w:t>
      </w:r>
      <w:r>
        <w:rPr>
          <w:spacing w:val="-85"/>
          <w:highlight w:val="none"/>
        </w:rPr>
        <w:t xml:space="preserve"> </w:t>
      </w:r>
      <w:r>
        <w:rPr>
          <w:highlight w:val="none"/>
        </w:rPr>
        <w:t>加盖公章的复印件一套，审核通过后供应商需在中牟县房产交易大厦</w:t>
      </w:r>
      <w:r>
        <w:rPr>
          <w:spacing w:val="-70"/>
          <w:highlight w:val="none"/>
        </w:rPr>
        <w:t xml:space="preserve"> </w:t>
      </w:r>
      <w:r>
        <w:rPr>
          <w:highlight w:val="none"/>
        </w:rPr>
        <w:t>18</w:t>
      </w:r>
      <w:r>
        <w:rPr>
          <w:spacing w:val="-70"/>
          <w:highlight w:val="none"/>
        </w:rPr>
        <w:t xml:space="preserve"> </w:t>
      </w:r>
      <w:r>
        <w:rPr>
          <w:highlight w:val="none"/>
        </w:rPr>
        <w:t>楼办理</w:t>
      </w:r>
      <w:r>
        <w:rPr>
          <w:spacing w:val="-70"/>
          <w:highlight w:val="none"/>
        </w:rPr>
        <w:t xml:space="preserve"> </w:t>
      </w:r>
      <w:r>
        <w:rPr>
          <w:highlight w:val="none"/>
        </w:rPr>
        <w:t>CA</w:t>
      </w:r>
      <w:r>
        <w:rPr>
          <w:spacing w:val="-70"/>
          <w:highlight w:val="none"/>
        </w:rPr>
        <w:t xml:space="preserve"> </w:t>
      </w:r>
      <w:r>
        <w:rPr>
          <w:spacing w:val="-10"/>
          <w:highlight w:val="none"/>
        </w:rPr>
        <w:t>锁，办理完</w:t>
      </w:r>
      <w:r>
        <w:rPr>
          <w:highlight w:val="none"/>
        </w:rPr>
        <w:t>毕携带</w:t>
      </w:r>
      <w:r>
        <w:rPr>
          <w:spacing w:val="-66"/>
          <w:highlight w:val="none"/>
        </w:rPr>
        <w:t xml:space="preserve"> </w:t>
      </w:r>
      <w:r>
        <w:rPr>
          <w:highlight w:val="none"/>
        </w:rPr>
        <w:t>CA</w:t>
      </w:r>
      <w:r>
        <w:rPr>
          <w:spacing w:val="-66"/>
          <w:highlight w:val="none"/>
        </w:rPr>
        <w:t xml:space="preserve"> </w:t>
      </w:r>
      <w:r>
        <w:rPr>
          <w:highlight w:val="none"/>
        </w:rPr>
        <w:t>锁到中牟县公共资源交易中心信息科（中牟县房产交易大厦</w:t>
      </w:r>
      <w:r>
        <w:rPr>
          <w:spacing w:val="-66"/>
          <w:highlight w:val="none"/>
        </w:rPr>
        <w:t xml:space="preserve"> </w:t>
      </w:r>
      <w:r>
        <w:rPr>
          <w:highlight w:val="none"/>
        </w:rPr>
        <w:t>18</w:t>
      </w:r>
      <w:r>
        <w:rPr>
          <w:spacing w:val="-66"/>
          <w:highlight w:val="none"/>
        </w:rPr>
        <w:t xml:space="preserve"> </w:t>
      </w:r>
      <w:r>
        <w:rPr>
          <w:spacing w:val="-7"/>
          <w:highlight w:val="none"/>
        </w:rPr>
        <w:t>楼）审核激活，供应</w:t>
      </w:r>
      <w:r>
        <w:rPr>
          <w:highlight w:val="none"/>
        </w:rPr>
        <w:t>商通过</w:t>
      </w:r>
      <w:r>
        <w:rPr>
          <w:spacing w:val="-60"/>
          <w:highlight w:val="none"/>
        </w:rPr>
        <w:t xml:space="preserve"> </w:t>
      </w:r>
      <w:r>
        <w:rPr>
          <w:highlight w:val="none"/>
        </w:rPr>
        <w:t>CA</w:t>
      </w:r>
      <w:r>
        <w:rPr>
          <w:spacing w:val="-60"/>
          <w:highlight w:val="none"/>
        </w:rPr>
        <w:t xml:space="preserve"> </w:t>
      </w:r>
      <w:r>
        <w:rPr>
          <w:highlight w:val="none"/>
        </w:rPr>
        <w:t>锁登陆进行网上下载招标文件等相关资料，纸质招标文件不再提供；</w:t>
      </w:r>
    </w:p>
    <w:p>
      <w:pPr>
        <w:pStyle w:val="6"/>
        <w:spacing w:before="26" w:line="381" w:lineRule="auto"/>
        <w:ind w:right="1326"/>
        <w:jc w:val="left"/>
        <w:rPr>
          <w:highlight w:val="none"/>
        </w:rPr>
      </w:pPr>
      <w:r>
        <w:rPr>
          <w:highlight w:val="none"/>
        </w:rPr>
        <w:t xml:space="preserve"> 4.售价：0</w:t>
      </w:r>
      <w:r>
        <w:rPr>
          <w:spacing w:val="-60"/>
          <w:highlight w:val="none"/>
        </w:rPr>
        <w:t xml:space="preserve"> </w:t>
      </w:r>
      <w:r>
        <w:rPr>
          <w:highlight w:val="none"/>
        </w:rPr>
        <w:t>元/本。</w:t>
      </w:r>
    </w:p>
    <w:p>
      <w:pPr>
        <w:pStyle w:val="6"/>
        <w:spacing w:before="46" w:line="240" w:lineRule="auto"/>
        <w:ind w:right="6"/>
        <w:jc w:val="left"/>
        <w:rPr>
          <w:highlight w:val="none"/>
        </w:rPr>
      </w:pPr>
      <w:r>
        <w:rPr>
          <w:highlight w:val="none"/>
        </w:rPr>
        <w:t>四、投标文件截止时间及地点</w:t>
      </w:r>
    </w:p>
    <w:p>
      <w:pPr>
        <w:pStyle w:val="6"/>
        <w:spacing w:before="185" w:line="240" w:lineRule="auto"/>
        <w:ind w:left="620" w:right="6"/>
        <w:jc w:val="left"/>
        <w:rPr>
          <w:spacing w:val="-3"/>
          <w:highlight w:val="none"/>
        </w:rPr>
      </w:pPr>
      <w:r>
        <w:rPr>
          <w:highlight w:val="none"/>
        </w:rPr>
        <w:t>1.时间：</w:t>
      </w:r>
      <w:r>
        <w:rPr>
          <w:spacing w:val="-3"/>
          <w:highlight w:val="none"/>
        </w:rPr>
        <w:t>2021年</w:t>
      </w:r>
      <w:r>
        <w:rPr>
          <w:rFonts w:hint="eastAsia"/>
          <w:spacing w:val="-3"/>
          <w:highlight w:val="none"/>
          <w:lang w:val="en-US" w:eastAsia="zh-CN"/>
        </w:rPr>
        <w:t>8</w:t>
      </w:r>
      <w:r>
        <w:rPr>
          <w:spacing w:val="-3"/>
          <w:highlight w:val="none"/>
        </w:rPr>
        <w:t>月</w:t>
      </w:r>
      <w:r>
        <w:rPr>
          <w:rFonts w:hint="eastAsia"/>
          <w:spacing w:val="-3"/>
          <w:highlight w:val="none"/>
          <w:lang w:val="en-US" w:eastAsia="zh-CN"/>
        </w:rPr>
        <w:t>17</w:t>
      </w:r>
      <w:r>
        <w:rPr>
          <w:spacing w:val="-3"/>
          <w:highlight w:val="none"/>
        </w:rPr>
        <w:t>日</w:t>
      </w:r>
      <w:r>
        <w:rPr>
          <w:rFonts w:hint="eastAsia"/>
          <w:spacing w:val="-3"/>
          <w:highlight w:val="none"/>
          <w:lang w:val="en-US" w:eastAsia="zh-CN"/>
        </w:rPr>
        <w:t xml:space="preserve">10 </w:t>
      </w:r>
      <w:r>
        <w:rPr>
          <w:spacing w:val="-3"/>
          <w:highlight w:val="none"/>
        </w:rPr>
        <w:t>点 00 分(北京时间)</w:t>
      </w:r>
    </w:p>
    <w:p>
      <w:pPr>
        <w:pStyle w:val="6"/>
        <w:spacing w:before="185" w:line="381" w:lineRule="auto"/>
        <w:ind w:right="190" w:firstLine="480"/>
        <w:jc w:val="both"/>
        <w:rPr>
          <w:highlight w:val="none"/>
        </w:rPr>
      </w:pPr>
      <w:r>
        <w:rPr>
          <w:spacing w:val="-3"/>
          <w:highlight w:val="none"/>
        </w:rPr>
        <w:t>2.地点：</w:t>
      </w:r>
      <w:r>
        <w:rPr>
          <w:rFonts w:hint="eastAsia"/>
          <w:spacing w:val="-3"/>
          <w:highlight w:val="none"/>
        </w:rPr>
        <w:t>中牟县公共资源交易中心（http:// www.zmxggzy.com）电子交易平台</w:t>
      </w:r>
      <w:r>
        <w:rPr>
          <w:highlight w:val="none"/>
        </w:rPr>
        <w:t>。投标人须在投标文件递交截止时间前登录中牟县公共资源交易中心网站（</w:t>
      </w:r>
      <w:r>
        <w:rPr>
          <w:highlight w:val="none"/>
        </w:rPr>
        <w:fldChar w:fldCharType="begin"/>
      </w:r>
      <w:r>
        <w:rPr>
          <w:highlight w:val="none"/>
        </w:rPr>
        <w:instrText xml:space="preserve"> HYPERLINK "http://www.zmxggzy.com/" \h </w:instrText>
      </w:r>
      <w:r>
        <w:rPr>
          <w:highlight w:val="none"/>
        </w:rPr>
        <w:fldChar w:fldCharType="separate"/>
      </w:r>
      <w:r>
        <w:rPr>
          <w:highlight w:val="none"/>
        </w:rPr>
        <w:t>http://</w:t>
      </w:r>
      <w:r>
        <w:rPr>
          <w:spacing w:val="23"/>
          <w:highlight w:val="none"/>
        </w:rPr>
        <w:t xml:space="preserve"> </w:t>
      </w:r>
      <w:r>
        <w:rPr>
          <w:highlight w:val="none"/>
        </w:rPr>
        <w:t>www.zmxggzy.com</w:t>
      </w:r>
      <w:r>
        <w:rPr>
          <w:highlight w:val="none"/>
        </w:rPr>
        <w:fldChar w:fldCharType="end"/>
      </w:r>
      <w:r>
        <w:rPr>
          <w:highlight w:val="none"/>
        </w:rPr>
        <w:t>）通过电子交易</w:t>
      </w:r>
      <w:r>
        <w:rPr>
          <w:spacing w:val="-118"/>
          <w:highlight w:val="none"/>
        </w:rPr>
        <w:t xml:space="preserve"> </w:t>
      </w:r>
      <w:r>
        <w:rPr>
          <w:spacing w:val="-3"/>
          <w:highlight w:val="none"/>
        </w:rPr>
        <w:t>平台上传加密的电子投标文件，确保成功上传电子投标文件。加密电子投标文件逾期上传，采</w:t>
      </w:r>
      <w:r>
        <w:rPr>
          <w:spacing w:val="-84"/>
          <w:highlight w:val="none"/>
        </w:rPr>
        <w:t xml:space="preserve"> </w:t>
      </w:r>
      <w:r>
        <w:rPr>
          <w:highlight w:val="none"/>
        </w:rPr>
        <w:t>购人不予受理。</w:t>
      </w:r>
    </w:p>
    <w:p>
      <w:pPr>
        <w:pStyle w:val="6"/>
        <w:spacing w:before="46" w:line="240" w:lineRule="auto"/>
        <w:ind w:right="6"/>
        <w:jc w:val="left"/>
        <w:rPr>
          <w:highlight w:val="none"/>
        </w:rPr>
      </w:pPr>
      <w:r>
        <w:rPr>
          <w:highlight w:val="none"/>
        </w:rPr>
        <w:t>五、开标时间及地点</w:t>
      </w:r>
    </w:p>
    <w:p>
      <w:pPr>
        <w:pStyle w:val="6"/>
        <w:spacing w:before="185" w:line="240" w:lineRule="auto"/>
        <w:ind w:left="620" w:right="6"/>
        <w:jc w:val="left"/>
        <w:rPr>
          <w:color w:val="FF0000"/>
          <w:highlight w:val="none"/>
        </w:rPr>
      </w:pPr>
      <w:r>
        <w:rPr>
          <w:highlight w:val="none"/>
        </w:rPr>
        <w:t>1.时间：</w:t>
      </w:r>
      <w:r>
        <w:rPr>
          <w:spacing w:val="-3"/>
          <w:highlight w:val="none"/>
        </w:rPr>
        <w:t>2021 年</w:t>
      </w:r>
      <w:r>
        <w:rPr>
          <w:rFonts w:hint="eastAsia"/>
          <w:spacing w:val="-3"/>
          <w:highlight w:val="none"/>
          <w:lang w:val="en-US" w:eastAsia="zh-CN"/>
        </w:rPr>
        <w:t>8</w:t>
      </w:r>
      <w:r>
        <w:rPr>
          <w:spacing w:val="-3"/>
          <w:highlight w:val="none"/>
        </w:rPr>
        <w:t>月</w:t>
      </w:r>
      <w:r>
        <w:rPr>
          <w:rFonts w:hint="eastAsia"/>
          <w:spacing w:val="-3"/>
          <w:highlight w:val="none"/>
          <w:lang w:val="en-US" w:eastAsia="zh-CN"/>
        </w:rPr>
        <w:t>17</w:t>
      </w:r>
      <w:r>
        <w:rPr>
          <w:spacing w:val="-3"/>
          <w:highlight w:val="none"/>
        </w:rPr>
        <w:t xml:space="preserve">日 </w:t>
      </w:r>
      <w:r>
        <w:rPr>
          <w:rFonts w:hint="eastAsia"/>
          <w:spacing w:val="-3"/>
          <w:highlight w:val="none"/>
          <w:lang w:val="en-US" w:eastAsia="zh-CN"/>
        </w:rPr>
        <w:t>10</w:t>
      </w:r>
      <w:r>
        <w:rPr>
          <w:spacing w:val="-3"/>
          <w:highlight w:val="none"/>
        </w:rPr>
        <w:t xml:space="preserve"> 点 00 分(北京时间)</w:t>
      </w:r>
    </w:p>
    <w:p>
      <w:pPr>
        <w:pStyle w:val="6"/>
        <w:spacing w:before="185" w:line="384" w:lineRule="auto"/>
        <w:ind w:right="1326" w:firstLine="480"/>
        <w:jc w:val="left"/>
        <w:rPr>
          <w:highlight w:val="none"/>
        </w:rPr>
      </w:pPr>
      <w:r>
        <w:rPr>
          <w:highlight w:val="none"/>
        </w:rPr>
        <w:t>2.地点：中牟县公共资源交易中心（房产大厦</w:t>
      </w:r>
      <w:r>
        <w:rPr>
          <w:spacing w:val="-60"/>
          <w:highlight w:val="none"/>
        </w:rPr>
        <w:t xml:space="preserve"> </w:t>
      </w:r>
      <w:r>
        <w:rPr>
          <w:highlight w:val="none"/>
        </w:rPr>
        <w:t>4</w:t>
      </w:r>
      <w:r>
        <w:rPr>
          <w:spacing w:val="-60"/>
          <w:highlight w:val="none"/>
        </w:rPr>
        <w:t xml:space="preserve"> </w:t>
      </w:r>
      <w:r>
        <w:rPr>
          <w:highlight w:val="none"/>
        </w:rPr>
        <w:t>楼</w:t>
      </w:r>
      <w:r>
        <w:rPr>
          <w:color w:val="auto"/>
          <w:highlight w:val="none"/>
        </w:rPr>
        <w:t>）第</w:t>
      </w:r>
      <w:r>
        <w:rPr>
          <w:rFonts w:hint="eastAsia"/>
          <w:color w:val="auto"/>
          <w:spacing w:val="-60"/>
          <w:highlight w:val="none"/>
          <w:lang w:eastAsia="zh-CN"/>
        </w:rPr>
        <w:t>三</w:t>
      </w:r>
      <w:bookmarkStart w:id="178" w:name="_GoBack"/>
      <w:bookmarkEnd w:id="178"/>
      <w:r>
        <w:rPr>
          <w:rFonts w:hint="eastAsia"/>
          <w:color w:val="auto"/>
          <w:spacing w:val="-60"/>
          <w:highlight w:val="none"/>
          <w:lang w:val="en-US" w:eastAsia="zh-CN"/>
        </w:rPr>
        <w:t xml:space="preserve"> </w:t>
      </w:r>
      <w:r>
        <w:rPr>
          <w:color w:val="auto"/>
          <w:highlight w:val="none"/>
        </w:rPr>
        <w:t xml:space="preserve">开标室 </w:t>
      </w:r>
    </w:p>
    <w:p>
      <w:pPr>
        <w:pStyle w:val="6"/>
        <w:spacing w:before="185" w:line="384" w:lineRule="auto"/>
        <w:ind w:right="1326"/>
        <w:jc w:val="left"/>
        <w:rPr>
          <w:highlight w:val="none"/>
        </w:rPr>
      </w:pPr>
      <w:r>
        <w:rPr>
          <w:highlight w:val="none"/>
        </w:rPr>
        <w:t>六、公告期限</w:t>
      </w:r>
    </w:p>
    <w:p>
      <w:pPr>
        <w:pStyle w:val="6"/>
        <w:spacing w:before="41" w:line="381" w:lineRule="auto"/>
        <w:ind w:right="190" w:firstLine="480"/>
        <w:jc w:val="both"/>
        <w:rPr>
          <w:highlight w:val="none"/>
        </w:rPr>
      </w:pPr>
      <w:r>
        <w:rPr>
          <w:spacing w:val="-3"/>
          <w:highlight w:val="none"/>
        </w:rPr>
        <w:t>本公告同时在《河南省政府采购网》、</w:t>
      </w:r>
      <w:r>
        <w:rPr>
          <w:highlight w:val="none"/>
        </w:rPr>
        <w:t>《中牟县政府采购网》</w:t>
      </w:r>
      <w:r>
        <w:rPr>
          <w:rFonts w:hint="eastAsia"/>
          <w:highlight w:val="none"/>
          <w:lang w:eastAsia="zh-CN"/>
        </w:rPr>
        <w:t>、</w:t>
      </w:r>
      <w:r>
        <w:rPr>
          <w:spacing w:val="-3"/>
          <w:highlight w:val="none"/>
        </w:rPr>
        <w:t>《中牟县</w:t>
      </w:r>
      <w:r>
        <w:rPr>
          <w:highlight w:val="none"/>
        </w:rPr>
        <w:t>公共资源交易中心》上发布，</w:t>
      </w:r>
      <w:r>
        <w:rPr>
          <w:rFonts w:hint="eastAsia"/>
          <w:highlight w:val="none"/>
        </w:rPr>
        <w:t>其他网站转载只供参考，采购人、采购代理机构不承担任何责任</w:t>
      </w:r>
      <w:r>
        <w:rPr>
          <w:rFonts w:hint="eastAsia"/>
          <w:highlight w:val="none"/>
          <w:lang w:eastAsia="zh-CN"/>
        </w:rPr>
        <w:t>。</w:t>
      </w:r>
      <w:r>
        <w:rPr>
          <w:rFonts w:hint="eastAsia"/>
          <w:highlight w:val="none"/>
        </w:rPr>
        <w:t xml:space="preserve">招标公告期限为五个工作日 </w:t>
      </w:r>
      <w:r>
        <w:rPr>
          <w:highlight w:val="none"/>
        </w:rPr>
        <w:t>。</w:t>
      </w:r>
    </w:p>
    <w:p>
      <w:pPr>
        <w:pStyle w:val="6"/>
        <w:spacing w:before="46" w:line="381" w:lineRule="auto"/>
        <w:ind w:right="4086"/>
        <w:jc w:val="left"/>
        <w:rPr>
          <w:highlight w:val="none"/>
        </w:rPr>
      </w:pPr>
      <w:r>
        <w:rPr>
          <w:highlight w:val="none"/>
        </w:rPr>
        <w:t>七、其他补充事项：</w:t>
      </w:r>
    </w:p>
    <w:p>
      <w:pPr>
        <w:pStyle w:val="6"/>
        <w:spacing w:before="43" w:line="381" w:lineRule="auto"/>
        <w:ind w:right="192" w:firstLine="480"/>
        <w:jc w:val="both"/>
        <w:rPr>
          <w:highlight w:val="none"/>
        </w:rPr>
      </w:pPr>
      <w:r>
        <w:rPr>
          <w:spacing w:val="-3"/>
          <w:highlight w:val="none"/>
        </w:rPr>
        <w:t>1.本项目实行电子开评标，获取招标文件后，请各投标人在中牟县公共资源交易中心门户</w:t>
      </w:r>
      <w:r>
        <w:rPr>
          <w:highlight w:val="none"/>
        </w:rPr>
        <w:t xml:space="preserve"> 网站（http://</w:t>
      </w:r>
      <w:r>
        <w:rPr>
          <w:spacing w:val="23"/>
          <w:highlight w:val="none"/>
        </w:rPr>
        <w:t xml:space="preserve"> </w:t>
      </w:r>
      <w:r>
        <w:rPr>
          <w:highlight w:val="none"/>
        </w:rPr>
        <w:fldChar w:fldCharType="begin"/>
      </w:r>
      <w:r>
        <w:rPr>
          <w:highlight w:val="none"/>
        </w:rPr>
        <w:instrText xml:space="preserve"> HYPERLINK "http://www.zmxggzy.com/" \h </w:instrText>
      </w:r>
      <w:r>
        <w:rPr>
          <w:highlight w:val="none"/>
        </w:rPr>
        <w:fldChar w:fldCharType="separate"/>
      </w:r>
      <w:r>
        <w:rPr>
          <w:highlight w:val="none"/>
        </w:rPr>
        <w:t>www.zmxggzy.com</w:t>
      </w:r>
      <w:r>
        <w:rPr>
          <w:highlight w:val="none"/>
        </w:rPr>
        <w:fldChar w:fldCharType="end"/>
      </w:r>
      <w:r>
        <w:rPr>
          <w:highlight w:val="none"/>
        </w:rPr>
        <w:t>）“下载中心”栏目下载相关驱动和电子投标工具。投标人</w:t>
      </w:r>
      <w:r>
        <w:rPr>
          <w:spacing w:val="-118"/>
          <w:highlight w:val="none"/>
        </w:rPr>
        <w:t xml:space="preserve"> </w:t>
      </w:r>
      <w:r>
        <w:rPr>
          <w:highlight w:val="none"/>
        </w:rPr>
        <w:t>在</w:t>
      </w:r>
      <w:r>
        <w:rPr>
          <w:spacing w:val="-89"/>
          <w:highlight w:val="none"/>
        </w:rPr>
        <w:t xml:space="preserve"> </w:t>
      </w:r>
      <w:r>
        <w:rPr>
          <w:highlight w:val="none"/>
        </w:rPr>
        <w:t>制</w:t>
      </w:r>
      <w:r>
        <w:rPr>
          <w:spacing w:val="-89"/>
          <w:highlight w:val="none"/>
        </w:rPr>
        <w:t xml:space="preserve"> </w:t>
      </w:r>
      <w:r>
        <w:rPr>
          <w:highlight w:val="none"/>
        </w:rPr>
        <w:t>作</w:t>
      </w:r>
      <w:r>
        <w:rPr>
          <w:spacing w:val="-87"/>
          <w:highlight w:val="none"/>
        </w:rPr>
        <w:t xml:space="preserve"> </w:t>
      </w:r>
      <w:r>
        <w:rPr>
          <w:highlight w:val="none"/>
        </w:rPr>
        <w:t>电</w:t>
      </w:r>
      <w:r>
        <w:rPr>
          <w:spacing w:val="-89"/>
          <w:highlight w:val="none"/>
        </w:rPr>
        <w:t xml:space="preserve"> </w:t>
      </w:r>
      <w:r>
        <w:rPr>
          <w:highlight w:val="none"/>
        </w:rPr>
        <w:t>子</w:t>
      </w:r>
      <w:r>
        <w:rPr>
          <w:spacing w:val="-89"/>
          <w:highlight w:val="none"/>
        </w:rPr>
        <w:t xml:space="preserve"> </w:t>
      </w:r>
      <w:r>
        <w:rPr>
          <w:highlight w:val="none"/>
        </w:rPr>
        <w:t>标</w:t>
      </w:r>
      <w:r>
        <w:rPr>
          <w:spacing w:val="-89"/>
          <w:highlight w:val="none"/>
        </w:rPr>
        <w:t xml:space="preserve"> </w:t>
      </w:r>
      <w:r>
        <w:rPr>
          <w:highlight w:val="none"/>
        </w:rPr>
        <w:t>书</w:t>
      </w:r>
      <w:r>
        <w:rPr>
          <w:spacing w:val="-87"/>
          <w:highlight w:val="none"/>
        </w:rPr>
        <w:t xml:space="preserve"> </w:t>
      </w:r>
      <w:r>
        <w:rPr>
          <w:highlight w:val="none"/>
        </w:rPr>
        <w:t>过</w:t>
      </w:r>
      <w:r>
        <w:rPr>
          <w:spacing w:val="-89"/>
          <w:highlight w:val="none"/>
        </w:rPr>
        <w:t xml:space="preserve"> </w:t>
      </w:r>
      <w:r>
        <w:rPr>
          <w:highlight w:val="none"/>
        </w:rPr>
        <w:t>程</w:t>
      </w:r>
      <w:r>
        <w:rPr>
          <w:spacing w:val="-89"/>
          <w:highlight w:val="none"/>
        </w:rPr>
        <w:t xml:space="preserve"> </w:t>
      </w:r>
      <w:r>
        <w:rPr>
          <w:highlight w:val="none"/>
        </w:rPr>
        <w:t>中</w:t>
      </w:r>
      <w:r>
        <w:rPr>
          <w:spacing w:val="-89"/>
          <w:highlight w:val="none"/>
        </w:rPr>
        <w:t xml:space="preserve"> </w:t>
      </w:r>
      <w:r>
        <w:rPr>
          <w:highlight w:val="none"/>
        </w:rPr>
        <w:t>，</w:t>
      </w:r>
      <w:r>
        <w:rPr>
          <w:spacing w:val="-87"/>
          <w:highlight w:val="none"/>
        </w:rPr>
        <w:t xml:space="preserve"> </w:t>
      </w:r>
      <w:r>
        <w:rPr>
          <w:highlight w:val="none"/>
        </w:rPr>
        <w:t>如</w:t>
      </w:r>
      <w:r>
        <w:rPr>
          <w:spacing w:val="-89"/>
          <w:highlight w:val="none"/>
        </w:rPr>
        <w:t xml:space="preserve"> </w:t>
      </w:r>
      <w:r>
        <w:rPr>
          <w:highlight w:val="none"/>
        </w:rPr>
        <w:t>遇</w:t>
      </w:r>
      <w:r>
        <w:rPr>
          <w:spacing w:val="-89"/>
          <w:highlight w:val="none"/>
        </w:rPr>
        <w:t xml:space="preserve"> </w:t>
      </w:r>
      <w:r>
        <w:rPr>
          <w:highlight w:val="none"/>
        </w:rPr>
        <w:t>到</w:t>
      </w:r>
      <w:r>
        <w:rPr>
          <w:spacing w:val="-89"/>
          <w:highlight w:val="none"/>
        </w:rPr>
        <w:t xml:space="preserve"> </w:t>
      </w:r>
      <w:r>
        <w:rPr>
          <w:highlight w:val="none"/>
        </w:rPr>
        <w:t>电</w:t>
      </w:r>
      <w:r>
        <w:rPr>
          <w:spacing w:val="-87"/>
          <w:highlight w:val="none"/>
        </w:rPr>
        <w:t xml:space="preserve"> </w:t>
      </w:r>
      <w:r>
        <w:rPr>
          <w:highlight w:val="none"/>
        </w:rPr>
        <w:t>子</w:t>
      </w:r>
      <w:r>
        <w:rPr>
          <w:spacing w:val="-89"/>
          <w:highlight w:val="none"/>
        </w:rPr>
        <w:t xml:space="preserve"> </w:t>
      </w:r>
      <w:r>
        <w:rPr>
          <w:highlight w:val="none"/>
        </w:rPr>
        <w:t>交</w:t>
      </w:r>
      <w:r>
        <w:rPr>
          <w:spacing w:val="-89"/>
          <w:highlight w:val="none"/>
        </w:rPr>
        <w:t xml:space="preserve"> </w:t>
      </w:r>
      <w:r>
        <w:rPr>
          <w:highlight w:val="none"/>
        </w:rPr>
        <w:t>易</w:t>
      </w:r>
      <w:r>
        <w:rPr>
          <w:spacing w:val="-89"/>
          <w:highlight w:val="none"/>
        </w:rPr>
        <w:t xml:space="preserve"> </w:t>
      </w:r>
      <w:r>
        <w:rPr>
          <w:highlight w:val="none"/>
        </w:rPr>
        <w:t>系</w:t>
      </w:r>
      <w:r>
        <w:rPr>
          <w:spacing w:val="-87"/>
          <w:highlight w:val="none"/>
        </w:rPr>
        <w:t xml:space="preserve"> </w:t>
      </w:r>
      <w:r>
        <w:rPr>
          <w:highlight w:val="none"/>
        </w:rPr>
        <w:t>统</w:t>
      </w:r>
      <w:r>
        <w:rPr>
          <w:spacing w:val="-89"/>
          <w:highlight w:val="none"/>
        </w:rPr>
        <w:t xml:space="preserve"> </w:t>
      </w:r>
      <w:r>
        <w:rPr>
          <w:highlight w:val="none"/>
        </w:rPr>
        <w:t>的</w:t>
      </w:r>
      <w:r>
        <w:rPr>
          <w:spacing w:val="-89"/>
          <w:highlight w:val="none"/>
        </w:rPr>
        <w:t xml:space="preserve"> </w:t>
      </w:r>
      <w:r>
        <w:rPr>
          <w:highlight w:val="none"/>
        </w:rPr>
        <w:t>软</w:t>
      </w:r>
      <w:r>
        <w:rPr>
          <w:spacing w:val="-89"/>
          <w:highlight w:val="none"/>
        </w:rPr>
        <w:t xml:space="preserve"> </w:t>
      </w:r>
      <w:r>
        <w:rPr>
          <w:highlight w:val="none"/>
        </w:rPr>
        <w:t>件</w:t>
      </w:r>
      <w:r>
        <w:rPr>
          <w:spacing w:val="-89"/>
          <w:highlight w:val="none"/>
        </w:rPr>
        <w:t xml:space="preserve"> </w:t>
      </w:r>
      <w:r>
        <w:rPr>
          <w:highlight w:val="none"/>
        </w:rPr>
        <w:t>操</w:t>
      </w:r>
      <w:r>
        <w:rPr>
          <w:spacing w:val="-87"/>
          <w:highlight w:val="none"/>
        </w:rPr>
        <w:t xml:space="preserve"> </w:t>
      </w:r>
      <w:r>
        <w:rPr>
          <w:highlight w:val="none"/>
        </w:rPr>
        <w:t>作</w:t>
      </w:r>
      <w:r>
        <w:rPr>
          <w:spacing w:val="-89"/>
          <w:highlight w:val="none"/>
        </w:rPr>
        <w:t xml:space="preserve"> </w:t>
      </w:r>
      <w:r>
        <w:rPr>
          <w:highlight w:val="none"/>
        </w:rPr>
        <w:t>问</w:t>
      </w:r>
      <w:r>
        <w:rPr>
          <w:spacing w:val="-89"/>
          <w:highlight w:val="none"/>
        </w:rPr>
        <w:t xml:space="preserve"> </w:t>
      </w:r>
      <w:r>
        <w:rPr>
          <w:highlight w:val="none"/>
        </w:rPr>
        <w:t>题</w:t>
      </w:r>
      <w:r>
        <w:rPr>
          <w:spacing w:val="-89"/>
          <w:highlight w:val="none"/>
        </w:rPr>
        <w:t xml:space="preserve"> </w:t>
      </w:r>
      <w:r>
        <w:rPr>
          <w:highlight w:val="none"/>
        </w:rPr>
        <w:t>时</w:t>
      </w:r>
      <w:r>
        <w:rPr>
          <w:spacing w:val="-87"/>
          <w:highlight w:val="none"/>
        </w:rPr>
        <w:t xml:space="preserve"> </w:t>
      </w:r>
      <w:r>
        <w:rPr>
          <w:highlight w:val="none"/>
        </w:rPr>
        <w:t>，</w:t>
      </w:r>
      <w:r>
        <w:rPr>
          <w:spacing w:val="-89"/>
          <w:highlight w:val="none"/>
        </w:rPr>
        <w:t xml:space="preserve"> </w:t>
      </w:r>
      <w:r>
        <w:rPr>
          <w:highlight w:val="none"/>
        </w:rPr>
        <w:t>可</w:t>
      </w:r>
      <w:r>
        <w:rPr>
          <w:spacing w:val="-89"/>
          <w:highlight w:val="none"/>
        </w:rPr>
        <w:t xml:space="preserve"> </w:t>
      </w:r>
      <w:r>
        <w:rPr>
          <w:highlight w:val="none"/>
        </w:rPr>
        <w:t>通</w:t>
      </w:r>
      <w:r>
        <w:rPr>
          <w:spacing w:val="-89"/>
          <w:highlight w:val="none"/>
        </w:rPr>
        <w:t xml:space="preserve"> </w:t>
      </w:r>
      <w:r>
        <w:rPr>
          <w:highlight w:val="none"/>
        </w:rPr>
        <w:t>过</w:t>
      </w:r>
      <w:r>
        <w:rPr>
          <w:spacing w:val="-87"/>
          <w:highlight w:val="none"/>
        </w:rPr>
        <w:t xml:space="preserve"> </w:t>
      </w:r>
      <w:r>
        <w:rPr>
          <w:highlight w:val="none"/>
        </w:rPr>
        <w:t>热</w:t>
      </w:r>
      <w:r>
        <w:rPr>
          <w:spacing w:val="-89"/>
          <w:highlight w:val="none"/>
        </w:rPr>
        <w:t xml:space="preserve"> </w:t>
      </w:r>
      <w:r>
        <w:rPr>
          <w:highlight w:val="none"/>
        </w:rPr>
        <w:t>线</w:t>
      </w:r>
      <w:r>
        <w:rPr>
          <w:spacing w:val="-89"/>
          <w:highlight w:val="none"/>
        </w:rPr>
        <w:t xml:space="preserve"> </w:t>
      </w:r>
      <w:r>
        <w:rPr>
          <w:highlight w:val="none"/>
        </w:rPr>
        <w:t>电</w:t>
      </w:r>
      <w:r>
        <w:rPr>
          <w:spacing w:val="-89"/>
          <w:highlight w:val="none"/>
        </w:rPr>
        <w:t xml:space="preserve"> </w:t>
      </w:r>
      <w:r>
        <w:rPr>
          <w:highlight w:val="none"/>
        </w:rPr>
        <w:t xml:space="preserve">话（4009980000）进行咨询。 </w:t>
      </w:r>
    </w:p>
    <w:p>
      <w:pPr>
        <w:pStyle w:val="6"/>
        <w:spacing w:before="43" w:line="384" w:lineRule="auto"/>
        <w:ind w:left="607" w:leftChars="258" w:right="6" w:hanging="39" w:hangingChars="17"/>
        <w:jc w:val="left"/>
        <w:rPr>
          <w:highlight w:val="none"/>
        </w:rPr>
      </w:pPr>
      <w:r>
        <w:rPr>
          <w:spacing w:val="-3"/>
          <w:highlight w:val="none"/>
        </w:rPr>
        <w:t>2.根据“中牟县公共资源交易中心关于推行不见面开标服务的通知”，投标人无需到交易</w:t>
      </w:r>
    </w:p>
    <w:p>
      <w:pPr>
        <w:pStyle w:val="6"/>
        <w:spacing w:before="41" w:line="381" w:lineRule="auto"/>
        <w:ind w:right="6"/>
        <w:jc w:val="left"/>
        <w:rPr>
          <w:highlight w:val="none"/>
        </w:rPr>
      </w:pPr>
      <w:r>
        <w:rPr>
          <w:spacing w:val="-3"/>
          <w:highlight w:val="none"/>
        </w:rPr>
        <w:t>中心现场参加开标会议，评标委员会不再对投标文件中涉及的相关资料原件进行验证，所有投</w:t>
      </w:r>
      <w:r>
        <w:rPr>
          <w:spacing w:val="-87"/>
          <w:highlight w:val="none"/>
        </w:rPr>
        <w:t xml:space="preserve"> </w:t>
      </w:r>
      <w:r>
        <w:rPr>
          <w:highlight w:val="none"/>
        </w:rPr>
        <w:t>标人不需提供证书原件。</w:t>
      </w:r>
    </w:p>
    <w:p>
      <w:pPr>
        <w:pStyle w:val="6"/>
        <w:spacing w:before="46" w:line="381" w:lineRule="auto"/>
        <w:ind w:right="192" w:firstLine="480"/>
        <w:jc w:val="both"/>
        <w:rPr>
          <w:highlight w:val="none"/>
        </w:rPr>
      </w:pPr>
      <w:r>
        <w:rPr>
          <w:highlight w:val="none"/>
        </w:rPr>
        <w:t>3.本项目所有投标人应提前</w:t>
      </w:r>
      <w:r>
        <w:rPr>
          <w:spacing w:val="-50"/>
          <w:highlight w:val="none"/>
        </w:rPr>
        <w:t xml:space="preserve"> </w:t>
      </w:r>
      <w:r>
        <w:rPr>
          <w:highlight w:val="none"/>
        </w:rPr>
        <w:t>30</w:t>
      </w:r>
      <w:r>
        <w:rPr>
          <w:spacing w:val="-47"/>
          <w:highlight w:val="none"/>
        </w:rPr>
        <w:t xml:space="preserve"> </w:t>
      </w:r>
      <w:r>
        <w:rPr>
          <w:highlight w:val="none"/>
        </w:rPr>
        <w:t>分钟登录“中牟县公共资源交易中心门户网站远程开标大</w:t>
      </w:r>
      <w:r>
        <w:rPr>
          <w:highlight w:val="none"/>
        </w:rPr>
        <w:fldChar w:fldCharType="begin"/>
      </w:r>
      <w:r>
        <w:rPr>
          <w:highlight w:val="none"/>
        </w:rPr>
        <w:instrText xml:space="preserve"> HYPERLINK "http://www.zmxggzy.com/BidOpening" \h </w:instrText>
      </w:r>
      <w:r>
        <w:rPr>
          <w:highlight w:val="none"/>
        </w:rPr>
        <w:fldChar w:fldCharType="separate"/>
      </w:r>
      <w:r>
        <w:rPr>
          <w:highlight w:val="none"/>
        </w:rPr>
        <w:t xml:space="preserve"> 厅（http://www.zmxggzy.com/BidOpening</w:t>
      </w:r>
      <w:r>
        <w:rPr>
          <w:highlight w:val="none"/>
        </w:rPr>
        <w:fldChar w:fldCharType="end"/>
      </w:r>
      <w:r>
        <w:rPr>
          <w:highlight w:val="none"/>
        </w:rPr>
        <w:t>）”进行远程开标准备工作。</w:t>
      </w:r>
    </w:p>
    <w:p>
      <w:pPr>
        <w:pStyle w:val="6"/>
        <w:spacing w:before="43" w:line="384" w:lineRule="auto"/>
        <w:ind w:right="105" w:firstLine="480"/>
        <w:jc w:val="both"/>
        <w:rPr>
          <w:highlight w:val="none"/>
        </w:rPr>
      </w:pPr>
      <w:r>
        <w:rPr>
          <w:spacing w:val="-3"/>
          <w:highlight w:val="none"/>
        </w:rPr>
        <w:t>4.投标人登录“中牟县公共资源交易中心门户网站远程开标大厅”后，须先进行签到，其</w:t>
      </w:r>
      <w:r>
        <w:rPr>
          <w:highlight w:val="none"/>
        </w:rPr>
        <w:t xml:space="preserve"> 后应一直保持在线状态，保证能准时参加开标大会、投标文件的解密、现场答疑澄清等活动。</w:t>
      </w:r>
    </w:p>
    <w:p>
      <w:pPr>
        <w:pStyle w:val="6"/>
        <w:spacing w:before="41" w:line="240" w:lineRule="auto"/>
        <w:ind w:right="0" w:firstLine="480"/>
        <w:jc w:val="both"/>
        <w:rPr>
          <w:highlight w:val="none"/>
        </w:rPr>
      </w:pPr>
      <w:r>
        <w:rPr>
          <w:highlight w:val="none"/>
        </w:rPr>
        <w:t>5.不见面开标操作说明详见中牟县公共资源交易中心网站下载中心《中牟不见面开标-操</w:t>
      </w:r>
    </w:p>
    <w:p>
      <w:pPr>
        <w:pStyle w:val="6"/>
        <w:spacing w:before="185" w:line="240" w:lineRule="auto"/>
        <w:ind w:right="6"/>
        <w:jc w:val="left"/>
        <w:rPr>
          <w:highlight w:val="none"/>
        </w:rPr>
      </w:pPr>
      <w:r>
        <w:rPr>
          <w:highlight w:val="none"/>
        </w:rPr>
        <w:t>作手册（投标人）V1.0》。</w:t>
      </w:r>
    </w:p>
    <w:p>
      <w:pPr>
        <w:spacing w:before="13" w:line="240" w:lineRule="auto"/>
        <w:rPr>
          <w:rFonts w:ascii="宋体" w:hAnsi="宋体" w:eastAsia="宋体" w:cs="宋体"/>
          <w:sz w:val="12"/>
          <w:szCs w:val="12"/>
          <w:highlight w:val="none"/>
        </w:rPr>
      </w:pPr>
    </w:p>
    <w:p>
      <w:pPr>
        <w:pStyle w:val="6"/>
        <w:numPr>
          <w:ilvl w:val="0"/>
          <w:numId w:val="1"/>
        </w:numPr>
        <w:spacing w:before="26" w:line="381" w:lineRule="auto"/>
        <w:ind w:left="620" w:right="4206" w:hanging="480"/>
        <w:jc w:val="left"/>
        <w:rPr>
          <w:highlight w:val="none"/>
        </w:rPr>
      </w:pPr>
      <w:bookmarkStart w:id="16" w:name="_bookmark1"/>
      <w:bookmarkEnd w:id="16"/>
      <w:bookmarkStart w:id="17" w:name="第二章 供应商须知"/>
      <w:bookmarkEnd w:id="17"/>
      <w:r>
        <w:rPr>
          <w:highlight w:val="none"/>
        </w:rPr>
        <w:t>凡对本次采购提出询问，请按以下方式联系</w:t>
      </w:r>
    </w:p>
    <w:p>
      <w:pPr>
        <w:pStyle w:val="6"/>
        <w:numPr>
          <w:ilvl w:val="0"/>
          <w:numId w:val="0"/>
        </w:numPr>
        <w:spacing w:before="26" w:line="381" w:lineRule="auto"/>
        <w:ind w:left="140" w:leftChars="0" w:right="4206" w:rightChars="0" w:firstLine="240" w:firstLineChars="100"/>
        <w:jc w:val="left"/>
        <w:rPr>
          <w:highlight w:val="none"/>
        </w:rPr>
      </w:pPr>
      <w:r>
        <w:rPr>
          <w:highlight w:val="none"/>
        </w:rPr>
        <w:t xml:space="preserve"> 1.采购人信息</w:t>
      </w:r>
    </w:p>
    <w:p>
      <w:pPr>
        <w:pStyle w:val="6"/>
        <w:spacing w:before="46" w:line="381" w:lineRule="auto"/>
        <w:ind w:left="620" w:right="4206"/>
        <w:jc w:val="left"/>
        <w:rPr>
          <w:highlight w:val="none"/>
        </w:rPr>
      </w:pPr>
      <w:r>
        <w:rPr>
          <w:highlight w:val="none"/>
        </w:rPr>
        <w:t>采购人：</w:t>
      </w:r>
      <w:r>
        <w:rPr>
          <w:rFonts w:hint="eastAsia"/>
          <w:highlight w:val="none"/>
          <w:lang w:eastAsia="zh-CN"/>
        </w:rPr>
        <w:t>中牟县官渡镇人民政府</w:t>
      </w:r>
      <w:r>
        <w:rPr>
          <w:highlight w:val="none"/>
        </w:rPr>
        <w:t xml:space="preserve"> </w:t>
      </w:r>
    </w:p>
    <w:p>
      <w:pPr>
        <w:pStyle w:val="6"/>
        <w:spacing w:before="46" w:line="381" w:lineRule="auto"/>
        <w:ind w:left="620" w:right="4206"/>
        <w:jc w:val="left"/>
        <w:rPr>
          <w:highlight w:val="none"/>
        </w:rPr>
      </w:pPr>
      <w:r>
        <w:rPr>
          <w:highlight w:val="none"/>
        </w:rPr>
        <w:t>地址：</w:t>
      </w:r>
      <w:r>
        <w:rPr>
          <w:rFonts w:hint="eastAsia"/>
          <w:highlight w:val="none"/>
          <w:lang w:eastAsia="zh-CN"/>
        </w:rPr>
        <w:t>河南省郑州市中牟县境内</w:t>
      </w:r>
      <w:r>
        <w:rPr>
          <w:highlight w:val="none"/>
        </w:rPr>
        <w:t xml:space="preserve"> </w:t>
      </w:r>
    </w:p>
    <w:p>
      <w:pPr>
        <w:pStyle w:val="6"/>
        <w:spacing w:before="46" w:line="381" w:lineRule="auto"/>
        <w:ind w:left="620" w:right="4206"/>
        <w:jc w:val="left"/>
        <w:rPr>
          <w:rFonts w:hint="eastAsia" w:eastAsia="宋体"/>
          <w:highlight w:val="none"/>
          <w:lang w:eastAsia="zh-CN"/>
        </w:rPr>
      </w:pPr>
      <w:r>
        <w:rPr>
          <w:highlight w:val="none"/>
        </w:rPr>
        <w:t>联系人：</w:t>
      </w:r>
      <w:r>
        <w:rPr>
          <w:rFonts w:hint="eastAsia"/>
          <w:highlight w:val="none"/>
          <w:lang w:eastAsia="zh-CN"/>
        </w:rPr>
        <w:t>田先生</w:t>
      </w:r>
    </w:p>
    <w:p>
      <w:pPr>
        <w:pStyle w:val="6"/>
        <w:spacing w:before="46" w:line="240" w:lineRule="auto"/>
        <w:ind w:left="620" w:right="0"/>
        <w:jc w:val="left"/>
        <w:rPr>
          <w:rFonts w:hint="eastAsia" w:eastAsia="宋体"/>
          <w:highlight w:val="none"/>
          <w:lang w:eastAsia="zh-CN"/>
        </w:rPr>
      </w:pPr>
      <w:r>
        <w:rPr>
          <w:highlight w:val="none"/>
        </w:rPr>
        <w:t>联系</w:t>
      </w:r>
      <w:r>
        <w:rPr>
          <w:rFonts w:hint="eastAsia"/>
          <w:highlight w:val="none"/>
          <w:lang w:eastAsia="zh-CN"/>
        </w:rPr>
        <w:t>方式</w:t>
      </w:r>
      <w:r>
        <w:rPr>
          <w:highlight w:val="none"/>
        </w:rPr>
        <w:t>：</w:t>
      </w:r>
      <w:r>
        <w:rPr>
          <w:rFonts w:hint="eastAsia"/>
          <w:highlight w:val="none"/>
          <w:lang w:val="en-US" w:eastAsia="zh-CN"/>
        </w:rPr>
        <w:t xml:space="preserve"> 0371-62232005 </w:t>
      </w:r>
    </w:p>
    <w:p>
      <w:pPr>
        <w:pStyle w:val="6"/>
        <w:numPr>
          <w:ilvl w:val="0"/>
          <w:numId w:val="0"/>
        </w:numPr>
        <w:spacing w:before="185" w:line="381" w:lineRule="auto"/>
        <w:ind w:right="4206" w:rightChars="0" w:firstLine="480" w:firstLineChars="200"/>
        <w:jc w:val="left"/>
        <w:rPr>
          <w:highlight w:val="none"/>
        </w:rPr>
      </w:pPr>
      <w:r>
        <w:rPr>
          <w:rFonts w:hint="eastAsia"/>
          <w:highlight w:val="none"/>
          <w:lang w:val="en-US" w:eastAsia="zh-CN"/>
        </w:rPr>
        <w:t>2.</w:t>
      </w:r>
      <w:r>
        <w:rPr>
          <w:highlight w:val="none"/>
        </w:rPr>
        <w:t xml:space="preserve">采购代理机构信息 </w:t>
      </w:r>
    </w:p>
    <w:p>
      <w:pPr>
        <w:pStyle w:val="6"/>
        <w:numPr>
          <w:ilvl w:val="0"/>
          <w:numId w:val="0"/>
        </w:numPr>
        <w:spacing w:before="185" w:line="381" w:lineRule="auto"/>
        <w:ind w:right="4206" w:rightChars="0" w:firstLine="720" w:firstLineChars="300"/>
        <w:jc w:val="left"/>
        <w:rPr>
          <w:rFonts w:hint="eastAsia" w:eastAsia="宋体"/>
          <w:highlight w:val="none"/>
          <w:lang w:eastAsia="zh-CN"/>
        </w:rPr>
      </w:pPr>
      <w:r>
        <w:rPr>
          <w:highlight w:val="none"/>
        </w:rPr>
        <w:t>代理机构:</w:t>
      </w:r>
      <w:r>
        <w:rPr>
          <w:rFonts w:hint="eastAsia"/>
          <w:highlight w:val="none"/>
          <w:lang w:eastAsia="zh-CN"/>
        </w:rPr>
        <w:t>河南斯弘工程咨询有限公司</w:t>
      </w:r>
    </w:p>
    <w:p>
      <w:pPr>
        <w:pStyle w:val="6"/>
        <w:spacing w:before="46" w:line="381" w:lineRule="auto"/>
        <w:ind w:left="620" w:right="0"/>
        <w:jc w:val="left"/>
        <w:rPr>
          <w:highlight w:val="none"/>
        </w:rPr>
      </w:pPr>
      <w:r>
        <w:rPr>
          <w:highlight w:val="none"/>
        </w:rPr>
        <w:t>地址：</w:t>
      </w:r>
      <w:r>
        <w:rPr>
          <w:rFonts w:hint="eastAsia"/>
          <w:highlight w:val="none"/>
          <w:lang w:eastAsia="zh-CN"/>
        </w:rPr>
        <w:t>郑州市中兴南路福禄街嘉亿东方大厦801室</w:t>
      </w:r>
    </w:p>
    <w:p>
      <w:pPr>
        <w:pStyle w:val="6"/>
        <w:spacing w:before="46" w:line="381" w:lineRule="auto"/>
        <w:ind w:right="0" w:firstLine="480" w:firstLineChars="200"/>
        <w:jc w:val="left"/>
        <w:rPr>
          <w:rFonts w:hint="eastAsia" w:eastAsia="宋体"/>
          <w:highlight w:val="none"/>
          <w:lang w:eastAsia="zh-CN"/>
        </w:rPr>
      </w:pPr>
      <w:r>
        <w:rPr>
          <w:highlight w:val="none"/>
        </w:rPr>
        <w:t>联系人：</w:t>
      </w:r>
      <w:r>
        <w:rPr>
          <w:rFonts w:hint="eastAsia"/>
          <w:highlight w:val="none"/>
          <w:lang w:eastAsia="zh-CN"/>
        </w:rPr>
        <w:t>余女士</w:t>
      </w:r>
    </w:p>
    <w:p>
      <w:pPr>
        <w:pStyle w:val="6"/>
        <w:spacing w:before="43" w:line="240" w:lineRule="auto"/>
        <w:ind w:left="620" w:right="0"/>
        <w:jc w:val="left"/>
        <w:rPr>
          <w:rFonts w:hint="default" w:eastAsia="宋体"/>
          <w:highlight w:val="none"/>
          <w:lang w:val="en-US" w:eastAsia="zh-CN"/>
        </w:rPr>
      </w:pPr>
      <w:r>
        <w:rPr>
          <w:rFonts w:hint="eastAsia"/>
          <w:highlight w:val="none"/>
          <w:lang w:eastAsia="zh-CN"/>
        </w:rPr>
        <w:t>联系方式</w:t>
      </w:r>
      <w:r>
        <w:rPr>
          <w:highlight w:val="none"/>
        </w:rPr>
        <w:t>：</w:t>
      </w:r>
      <w:r>
        <w:rPr>
          <w:rFonts w:hint="eastAsia"/>
          <w:highlight w:val="none"/>
          <w:lang w:val="en-US" w:eastAsia="zh-CN"/>
        </w:rPr>
        <w:t>13623950789</w:t>
      </w:r>
    </w:p>
    <w:p>
      <w:pPr>
        <w:pStyle w:val="6"/>
        <w:spacing w:before="43" w:line="240" w:lineRule="auto"/>
        <w:ind w:right="0" w:firstLine="240" w:firstLineChars="100"/>
        <w:jc w:val="left"/>
        <w:rPr>
          <w:highlight w:val="none"/>
        </w:rPr>
      </w:pPr>
      <w:r>
        <w:rPr>
          <w:rFonts w:hint="eastAsia"/>
          <w:highlight w:val="none"/>
          <w:lang w:val="en-US" w:eastAsia="zh-CN"/>
        </w:rPr>
        <w:t>3.</w:t>
      </w:r>
      <w:r>
        <w:rPr>
          <w:highlight w:val="none"/>
        </w:rPr>
        <w:t xml:space="preserve">项目联系方式 </w:t>
      </w:r>
    </w:p>
    <w:p>
      <w:pPr>
        <w:pStyle w:val="6"/>
        <w:numPr>
          <w:ilvl w:val="0"/>
          <w:numId w:val="0"/>
        </w:numPr>
        <w:spacing w:before="187" w:line="381" w:lineRule="auto"/>
        <w:ind w:right="6397" w:rightChars="0" w:firstLine="720" w:firstLineChars="300"/>
        <w:jc w:val="left"/>
        <w:rPr>
          <w:rFonts w:hint="eastAsia" w:eastAsia="宋体"/>
          <w:highlight w:val="none"/>
          <w:lang w:eastAsia="zh-CN"/>
        </w:rPr>
      </w:pPr>
      <w:r>
        <w:rPr>
          <w:rFonts w:hint="eastAsia"/>
          <w:highlight w:val="none"/>
          <w:lang w:eastAsia="zh-CN"/>
        </w:rPr>
        <w:t>项目</w:t>
      </w:r>
      <w:r>
        <w:rPr>
          <w:highlight w:val="none"/>
        </w:rPr>
        <w:t>联系人：</w:t>
      </w:r>
      <w:r>
        <w:rPr>
          <w:rFonts w:hint="eastAsia"/>
          <w:highlight w:val="none"/>
          <w:lang w:eastAsia="zh-CN"/>
        </w:rPr>
        <w:t>余女士</w:t>
      </w:r>
    </w:p>
    <w:p>
      <w:pPr>
        <w:pStyle w:val="6"/>
        <w:spacing w:before="43" w:line="240" w:lineRule="auto"/>
        <w:ind w:right="0" w:firstLine="480" w:firstLineChars="200"/>
        <w:jc w:val="left"/>
        <w:rPr>
          <w:rFonts w:hint="default" w:eastAsia="宋体"/>
          <w:highlight w:val="none"/>
          <w:lang w:val="en-US" w:eastAsia="zh-CN"/>
        </w:rPr>
      </w:pPr>
      <w:r>
        <w:rPr>
          <w:highlight w:val="none"/>
        </w:rPr>
        <w:t>联系方式：</w:t>
      </w:r>
      <w:r>
        <w:rPr>
          <w:rFonts w:hint="eastAsia"/>
          <w:highlight w:val="none"/>
          <w:lang w:val="en-US" w:eastAsia="zh-CN"/>
        </w:rPr>
        <w:t>13623950789</w:t>
      </w:r>
    </w:p>
    <w:p>
      <w:pPr>
        <w:spacing w:before="2" w:line="240" w:lineRule="auto"/>
        <w:rPr>
          <w:rFonts w:ascii="宋体" w:hAnsi="宋体" w:eastAsia="宋体" w:cs="宋体"/>
          <w:sz w:val="31"/>
          <w:szCs w:val="31"/>
          <w:highlight w:val="none"/>
        </w:rPr>
      </w:pPr>
    </w:p>
    <w:p>
      <w:pPr>
        <w:pStyle w:val="6"/>
        <w:spacing w:before="0" w:line="240" w:lineRule="auto"/>
        <w:ind w:left="0" w:right="132"/>
        <w:jc w:val="right"/>
        <w:rPr>
          <w:rFonts w:hint="eastAsia" w:eastAsia="宋体"/>
          <w:highlight w:val="none"/>
          <w:lang w:eastAsia="zh-CN"/>
        </w:rPr>
      </w:pPr>
      <w:r>
        <w:rPr>
          <w:highlight w:val="none"/>
        </w:rPr>
        <w:t>发布人：</w:t>
      </w:r>
      <w:r>
        <w:rPr>
          <w:rFonts w:hint="eastAsia"/>
          <w:highlight w:val="none"/>
          <w:lang w:eastAsia="zh-CN"/>
        </w:rPr>
        <w:t>河南斯弘工程咨询有限公司</w:t>
      </w:r>
    </w:p>
    <w:p>
      <w:pPr>
        <w:pStyle w:val="6"/>
        <w:spacing w:before="185" w:line="240" w:lineRule="auto"/>
        <w:ind w:left="0" w:right="132"/>
        <w:jc w:val="right"/>
        <w:rPr>
          <w:rFonts w:hint="eastAsia"/>
          <w:highlight w:val="none"/>
          <w:lang w:eastAsia="zh-CN"/>
        </w:rPr>
      </w:pPr>
      <w:r>
        <w:rPr>
          <w:highlight w:val="none"/>
        </w:rPr>
        <w:t>发布时间：202</w:t>
      </w:r>
      <w:r>
        <w:rPr>
          <w:rFonts w:hint="eastAsia"/>
          <w:highlight w:val="none"/>
          <w:lang w:eastAsia="zh-CN"/>
        </w:rPr>
        <w:t>1 年</w:t>
      </w:r>
      <w:r>
        <w:rPr>
          <w:rFonts w:hint="eastAsia"/>
          <w:highlight w:val="none"/>
          <w:lang w:val="en-US" w:eastAsia="zh-CN"/>
        </w:rPr>
        <w:t>7</w:t>
      </w:r>
      <w:r>
        <w:rPr>
          <w:rFonts w:hint="eastAsia"/>
          <w:highlight w:val="none"/>
          <w:lang w:eastAsia="zh-CN"/>
        </w:rPr>
        <w:t>月</w:t>
      </w:r>
      <w:r>
        <w:rPr>
          <w:rFonts w:hint="eastAsia"/>
          <w:highlight w:val="none"/>
          <w:lang w:val="en-US" w:eastAsia="zh-CN"/>
        </w:rPr>
        <w:t>29</w:t>
      </w:r>
      <w:r>
        <w:rPr>
          <w:rFonts w:hint="eastAsia"/>
          <w:highlight w:val="none"/>
          <w:lang w:eastAsia="zh-CN"/>
        </w:rPr>
        <w:t xml:space="preserve"> 日</w:t>
      </w:r>
    </w:p>
    <w:p>
      <w:pPr>
        <w:spacing w:after="0" w:line="240" w:lineRule="auto"/>
        <w:jc w:val="right"/>
        <w:rPr>
          <w:highlight w:val="none"/>
        </w:rPr>
        <w:sectPr>
          <w:headerReference r:id="rId12" w:type="default"/>
          <w:footerReference r:id="rId13" w:type="default"/>
          <w:pgSz w:w="11910" w:h="16840"/>
          <w:pgMar w:top="1100" w:right="1000" w:bottom="1060" w:left="880" w:header="878" w:footer="872" w:gutter="0"/>
          <w:pgBorders>
            <w:top w:val="none" w:sz="0" w:space="0"/>
            <w:left w:val="none" w:sz="0" w:space="0"/>
            <w:bottom w:val="none" w:sz="0" w:space="0"/>
            <w:right w:val="none" w:sz="0" w:space="0"/>
          </w:pgBorders>
          <w:pgNumType w:fmt="decimal"/>
          <w:cols w:space="720" w:num="1"/>
        </w:sectPr>
      </w:pPr>
    </w:p>
    <w:p>
      <w:pPr>
        <w:spacing w:before="11" w:line="240" w:lineRule="auto"/>
        <w:rPr>
          <w:rFonts w:ascii="宋体" w:hAnsi="宋体" w:eastAsia="宋体" w:cs="宋体"/>
          <w:sz w:val="29"/>
          <w:szCs w:val="29"/>
          <w:highlight w:val="none"/>
        </w:rPr>
      </w:pPr>
    </w:p>
    <w:p>
      <w:pPr>
        <w:pStyle w:val="2"/>
        <w:spacing w:line="240" w:lineRule="auto"/>
        <w:ind w:left="3697" w:right="3693"/>
        <w:jc w:val="center"/>
        <w:rPr>
          <w:highlight w:val="none"/>
        </w:rPr>
      </w:pPr>
      <w:r>
        <w:rPr>
          <w:highlight w:val="none"/>
        </w:rPr>
        <w:t>第二章</w:t>
      </w:r>
      <w:r>
        <w:rPr>
          <w:spacing w:val="-4"/>
          <w:highlight w:val="none"/>
        </w:rPr>
        <w:t xml:space="preserve"> </w:t>
      </w:r>
      <w:r>
        <w:rPr>
          <w:highlight w:val="none"/>
        </w:rPr>
        <w:t>供应商须知</w:t>
      </w:r>
    </w:p>
    <w:p>
      <w:pPr>
        <w:spacing w:before="13" w:line="240" w:lineRule="auto"/>
        <w:rPr>
          <w:rFonts w:ascii="宋体" w:hAnsi="宋体" w:eastAsia="宋体" w:cs="宋体"/>
          <w:sz w:val="37"/>
          <w:szCs w:val="37"/>
          <w:highlight w:val="none"/>
        </w:rPr>
      </w:pPr>
    </w:p>
    <w:p>
      <w:pPr>
        <w:pStyle w:val="4"/>
        <w:spacing w:line="240" w:lineRule="auto"/>
        <w:ind w:left="3697" w:right="3690"/>
        <w:jc w:val="center"/>
        <w:rPr>
          <w:highlight w:val="none"/>
        </w:rPr>
      </w:pPr>
      <w:r>
        <w:rPr>
          <w:highlight w:val="none"/>
        </w:rPr>
        <w:t>供应商须知前附表</w:t>
      </w:r>
    </w:p>
    <w:p>
      <w:pPr>
        <w:spacing w:before="1" w:line="240" w:lineRule="auto"/>
        <w:rPr>
          <w:rFonts w:ascii="宋体" w:hAnsi="宋体" w:eastAsia="宋体" w:cs="宋体"/>
          <w:sz w:val="13"/>
          <w:szCs w:val="13"/>
          <w:highlight w:val="none"/>
        </w:rPr>
      </w:pPr>
    </w:p>
    <w:tbl>
      <w:tblPr>
        <w:tblStyle w:val="17"/>
        <w:tblW w:w="0" w:type="auto"/>
        <w:tblInd w:w="118" w:type="dxa"/>
        <w:tblLayout w:type="fixed"/>
        <w:tblCellMar>
          <w:top w:w="0" w:type="dxa"/>
          <w:left w:w="0" w:type="dxa"/>
          <w:bottom w:w="0" w:type="dxa"/>
          <w:right w:w="0" w:type="dxa"/>
        </w:tblCellMar>
      </w:tblPr>
      <w:tblGrid>
        <w:gridCol w:w="1100"/>
        <w:gridCol w:w="2664"/>
        <w:gridCol w:w="6141"/>
      </w:tblGrid>
      <w:tr>
        <w:tblPrEx>
          <w:tblCellMar>
            <w:top w:w="0" w:type="dxa"/>
            <w:left w:w="0" w:type="dxa"/>
            <w:bottom w:w="0" w:type="dxa"/>
            <w:right w:w="0" w:type="dxa"/>
          </w:tblCellMar>
        </w:tblPrEx>
        <w:trPr>
          <w:trHeight w:val="39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5" w:line="240" w:lineRule="auto"/>
              <w:ind w:left="185" w:right="0"/>
              <w:jc w:val="left"/>
              <w:rPr>
                <w:rFonts w:ascii="宋体" w:hAnsi="宋体" w:eastAsia="宋体" w:cs="宋体"/>
                <w:sz w:val="24"/>
                <w:szCs w:val="24"/>
                <w:highlight w:val="none"/>
              </w:rPr>
            </w:pPr>
            <w:r>
              <w:rPr>
                <w:rFonts w:ascii="宋体" w:hAnsi="宋体" w:eastAsia="宋体" w:cs="宋体"/>
                <w:sz w:val="24"/>
                <w:szCs w:val="24"/>
                <w:highlight w:val="none"/>
              </w:rPr>
              <w:t>条款号</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25" w:line="240" w:lineRule="auto"/>
              <w:ind w:left="666" w:right="0"/>
              <w:jc w:val="left"/>
              <w:rPr>
                <w:rFonts w:ascii="宋体" w:hAnsi="宋体" w:eastAsia="宋体" w:cs="宋体"/>
                <w:sz w:val="24"/>
                <w:szCs w:val="24"/>
                <w:highlight w:val="none"/>
              </w:rPr>
            </w:pPr>
            <w:r>
              <w:rPr>
                <w:rFonts w:ascii="宋体" w:hAnsi="宋体" w:eastAsia="宋体" w:cs="宋体"/>
                <w:sz w:val="24"/>
                <w:szCs w:val="24"/>
                <w:highlight w:val="none"/>
              </w:rPr>
              <w:t>条 款 名 称</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25" w:line="240" w:lineRule="auto"/>
              <w:ind w:right="2"/>
              <w:jc w:val="center"/>
              <w:rPr>
                <w:rFonts w:ascii="宋体" w:hAnsi="宋体" w:eastAsia="宋体" w:cs="宋体"/>
                <w:sz w:val="24"/>
                <w:szCs w:val="24"/>
                <w:highlight w:val="none"/>
              </w:rPr>
            </w:pPr>
            <w:r>
              <w:rPr>
                <w:rFonts w:ascii="宋体" w:hAnsi="宋体" w:eastAsia="宋体" w:cs="宋体"/>
                <w:sz w:val="24"/>
                <w:szCs w:val="24"/>
                <w:highlight w:val="none"/>
              </w:rPr>
              <w:t>编 列 内 容</w:t>
            </w:r>
          </w:p>
        </w:tc>
      </w:tr>
      <w:tr>
        <w:tblPrEx>
          <w:tblCellMar>
            <w:top w:w="0" w:type="dxa"/>
            <w:left w:w="0" w:type="dxa"/>
            <w:bottom w:w="0" w:type="dxa"/>
            <w:right w:w="0" w:type="dxa"/>
          </w:tblCellMar>
        </w:tblPrEx>
        <w:trPr>
          <w:trHeight w:val="1882"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宋体" w:hAnsi="宋体" w:eastAsia="宋体" w:cs="宋体"/>
                <w:sz w:val="24"/>
                <w:szCs w:val="24"/>
                <w:highlight w:val="none"/>
              </w:rPr>
            </w:pPr>
          </w:p>
          <w:p>
            <w:pPr>
              <w:pStyle w:val="23"/>
              <w:spacing w:before="11" w:line="240" w:lineRule="auto"/>
              <w:ind w:right="0"/>
              <w:jc w:val="left"/>
              <w:rPr>
                <w:rFonts w:ascii="宋体" w:hAnsi="宋体" w:eastAsia="宋体" w:cs="宋体"/>
                <w:sz w:val="34"/>
                <w:szCs w:val="34"/>
                <w:highlight w:val="none"/>
              </w:rPr>
            </w:pPr>
          </w:p>
          <w:p>
            <w:pPr>
              <w:pStyle w:val="23"/>
              <w:spacing w:line="240" w:lineRule="auto"/>
              <w:ind w:left="245" w:right="0"/>
              <w:jc w:val="left"/>
              <w:rPr>
                <w:rFonts w:ascii="宋体" w:hAnsi="宋体" w:eastAsia="宋体" w:cs="宋体"/>
                <w:sz w:val="24"/>
                <w:szCs w:val="24"/>
                <w:highlight w:val="none"/>
              </w:rPr>
            </w:pPr>
            <w:r>
              <w:rPr>
                <w:rFonts w:ascii="宋体"/>
                <w:sz w:val="24"/>
                <w:highlight w:val="none"/>
              </w:rPr>
              <w:t>1.1.2</w:t>
            </w:r>
          </w:p>
        </w:tc>
        <w:tc>
          <w:tcPr>
            <w:tcW w:w="2664"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宋体" w:hAnsi="宋体" w:eastAsia="宋体" w:cs="宋体"/>
                <w:sz w:val="24"/>
                <w:szCs w:val="24"/>
                <w:highlight w:val="none"/>
              </w:rPr>
            </w:pPr>
          </w:p>
          <w:p>
            <w:pPr>
              <w:pStyle w:val="23"/>
              <w:spacing w:before="11" w:line="240" w:lineRule="auto"/>
              <w:ind w:right="0"/>
              <w:jc w:val="left"/>
              <w:rPr>
                <w:rFonts w:ascii="宋体" w:hAnsi="宋体" w:eastAsia="宋体" w:cs="宋体"/>
                <w:sz w:val="34"/>
                <w:szCs w:val="34"/>
                <w:highlight w:val="none"/>
              </w:rPr>
            </w:pPr>
          </w:p>
          <w:p>
            <w:pPr>
              <w:pStyle w:val="23"/>
              <w:spacing w:line="240" w:lineRule="auto"/>
              <w:ind w:right="1"/>
              <w:jc w:val="center"/>
              <w:rPr>
                <w:rFonts w:ascii="宋体" w:hAnsi="宋体" w:eastAsia="宋体" w:cs="宋体"/>
                <w:sz w:val="24"/>
                <w:szCs w:val="24"/>
                <w:highlight w:val="none"/>
              </w:rPr>
            </w:pPr>
            <w:r>
              <w:rPr>
                <w:rFonts w:ascii="宋体" w:hAnsi="宋体" w:eastAsia="宋体" w:cs="宋体"/>
                <w:sz w:val="24"/>
                <w:szCs w:val="24"/>
                <w:highlight w:val="none"/>
              </w:rPr>
              <w:t>采购人</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40" w:line="357" w:lineRule="auto"/>
              <w:ind w:left="102" w:right="10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采购人：中牟县官渡镇人民政府 </w:t>
            </w:r>
          </w:p>
          <w:p>
            <w:pPr>
              <w:pStyle w:val="23"/>
              <w:spacing w:before="40" w:line="357" w:lineRule="auto"/>
              <w:ind w:left="102" w:right="10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地址：河南省郑州市中牟县境内 </w:t>
            </w:r>
          </w:p>
          <w:p>
            <w:pPr>
              <w:pStyle w:val="23"/>
              <w:spacing w:before="40" w:line="357" w:lineRule="auto"/>
              <w:ind w:left="102" w:right="10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联系人：田先生</w:t>
            </w:r>
          </w:p>
          <w:p>
            <w:pPr>
              <w:pStyle w:val="23"/>
              <w:spacing w:before="40" w:line="357" w:lineRule="auto"/>
              <w:ind w:left="102" w:right="101"/>
              <w:jc w:val="left"/>
              <w:rPr>
                <w:rFonts w:ascii="宋体" w:hAnsi="宋体" w:eastAsia="宋体" w:cs="宋体"/>
                <w:sz w:val="24"/>
                <w:szCs w:val="24"/>
                <w:highlight w:val="none"/>
              </w:rPr>
            </w:pPr>
            <w:r>
              <w:rPr>
                <w:rFonts w:hint="eastAsia" w:ascii="宋体" w:hAnsi="宋体" w:eastAsia="宋体" w:cs="宋体"/>
                <w:sz w:val="24"/>
                <w:szCs w:val="24"/>
                <w:highlight w:val="none"/>
              </w:rPr>
              <w:t>联系方式： 0371-62232005</w:t>
            </w:r>
          </w:p>
        </w:tc>
      </w:tr>
      <w:tr>
        <w:tblPrEx>
          <w:tblCellMar>
            <w:top w:w="0" w:type="dxa"/>
            <w:left w:w="0" w:type="dxa"/>
            <w:bottom w:w="0" w:type="dxa"/>
            <w:right w:w="0" w:type="dxa"/>
          </w:tblCellMar>
        </w:tblPrEx>
        <w:trPr>
          <w:trHeight w:val="1968"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宋体" w:hAnsi="宋体" w:eastAsia="宋体" w:cs="宋体"/>
                <w:sz w:val="24"/>
                <w:szCs w:val="24"/>
                <w:highlight w:val="none"/>
              </w:rPr>
            </w:pPr>
          </w:p>
          <w:p>
            <w:pPr>
              <w:pStyle w:val="23"/>
              <w:spacing w:line="240" w:lineRule="auto"/>
              <w:ind w:right="0"/>
              <w:jc w:val="left"/>
              <w:rPr>
                <w:rFonts w:ascii="宋体" w:hAnsi="宋体" w:eastAsia="宋体" w:cs="宋体"/>
                <w:sz w:val="24"/>
                <w:szCs w:val="24"/>
                <w:highlight w:val="none"/>
              </w:rPr>
            </w:pPr>
          </w:p>
          <w:p>
            <w:pPr>
              <w:pStyle w:val="23"/>
              <w:spacing w:line="240" w:lineRule="auto"/>
              <w:ind w:right="0"/>
              <w:jc w:val="left"/>
              <w:rPr>
                <w:rFonts w:ascii="宋体" w:hAnsi="宋体" w:eastAsia="宋体" w:cs="宋体"/>
                <w:sz w:val="24"/>
                <w:szCs w:val="24"/>
                <w:highlight w:val="none"/>
              </w:rPr>
            </w:pPr>
          </w:p>
          <w:p>
            <w:pPr>
              <w:pStyle w:val="23"/>
              <w:spacing w:before="8" w:line="240" w:lineRule="auto"/>
              <w:ind w:right="0"/>
              <w:jc w:val="left"/>
              <w:rPr>
                <w:rFonts w:ascii="宋体" w:hAnsi="宋体" w:eastAsia="宋体" w:cs="宋体"/>
                <w:sz w:val="22"/>
                <w:szCs w:val="22"/>
                <w:highlight w:val="none"/>
              </w:rPr>
            </w:pPr>
          </w:p>
          <w:p>
            <w:pPr>
              <w:pStyle w:val="23"/>
              <w:spacing w:line="240" w:lineRule="auto"/>
              <w:ind w:left="245" w:right="0"/>
              <w:jc w:val="left"/>
              <w:rPr>
                <w:rFonts w:ascii="宋体" w:hAnsi="宋体" w:eastAsia="宋体" w:cs="宋体"/>
                <w:sz w:val="24"/>
                <w:szCs w:val="24"/>
                <w:highlight w:val="none"/>
              </w:rPr>
            </w:pPr>
            <w:r>
              <w:rPr>
                <w:rFonts w:ascii="宋体"/>
                <w:sz w:val="24"/>
                <w:highlight w:val="none"/>
              </w:rPr>
              <w:t>1.1.3</w:t>
            </w:r>
          </w:p>
        </w:tc>
        <w:tc>
          <w:tcPr>
            <w:tcW w:w="2664"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宋体" w:hAnsi="宋体" w:eastAsia="宋体" w:cs="宋体"/>
                <w:sz w:val="24"/>
                <w:szCs w:val="24"/>
                <w:highlight w:val="none"/>
              </w:rPr>
            </w:pPr>
          </w:p>
          <w:p>
            <w:pPr>
              <w:pStyle w:val="23"/>
              <w:spacing w:line="240" w:lineRule="auto"/>
              <w:ind w:right="0"/>
              <w:jc w:val="left"/>
              <w:rPr>
                <w:rFonts w:ascii="宋体" w:hAnsi="宋体" w:eastAsia="宋体" w:cs="宋体"/>
                <w:sz w:val="24"/>
                <w:szCs w:val="24"/>
                <w:highlight w:val="none"/>
              </w:rPr>
            </w:pPr>
          </w:p>
          <w:p>
            <w:pPr>
              <w:pStyle w:val="23"/>
              <w:spacing w:line="240" w:lineRule="auto"/>
              <w:ind w:right="0"/>
              <w:jc w:val="left"/>
              <w:rPr>
                <w:rFonts w:ascii="宋体" w:hAnsi="宋体" w:eastAsia="宋体" w:cs="宋体"/>
                <w:sz w:val="24"/>
                <w:szCs w:val="24"/>
                <w:highlight w:val="none"/>
              </w:rPr>
            </w:pPr>
          </w:p>
          <w:p>
            <w:pPr>
              <w:pStyle w:val="23"/>
              <w:spacing w:before="8" w:line="240" w:lineRule="auto"/>
              <w:ind w:right="0"/>
              <w:jc w:val="left"/>
              <w:rPr>
                <w:rFonts w:ascii="宋体" w:hAnsi="宋体" w:eastAsia="宋体" w:cs="宋体"/>
                <w:sz w:val="22"/>
                <w:szCs w:val="22"/>
                <w:highlight w:val="none"/>
              </w:rPr>
            </w:pPr>
          </w:p>
          <w:p>
            <w:pPr>
              <w:pStyle w:val="23"/>
              <w:spacing w:line="240" w:lineRule="auto"/>
              <w:ind w:left="606" w:right="0"/>
              <w:jc w:val="left"/>
              <w:rPr>
                <w:rFonts w:ascii="宋体" w:hAnsi="宋体" w:eastAsia="宋体" w:cs="宋体"/>
                <w:sz w:val="24"/>
                <w:szCs w:val="24"/>
                <w:highlight w:val="none"/>
              </w:rPr>
            </w:pPr>
            <w:r>
              <w:rPr>
                <w:rFonts w:ascii="宋体" w:hAnsi="宋体" w:eastAsia="宋体" w:cs="宋体"/>
                <w:sz w:val="24"/>
                <w:szCs w:val="24"/>
                <w:highlight w:val="none"/>
              </w:rPr>
              <w:t>采购代理机构</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154" w:line="240" w:lineRule="auto"/>
              <w:ind w:left="102"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代理机构:河南斯弘工程咨询有限公司</w:t>
            </w:r>
          </w:p>
          <w:p>
            <w:pPr>
              <w:pStyle w:val="23"/>
              <w:spacing w:before="154" w:line="240" w:lineRule="auto"/>
              <w:ind w:left="102"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地址：郑州市中兴南路福禄街嘉亿东方大厦801室</w:t>
            </w:r>
          </w:p>
          <w:p>
            <w:pPr>
              <w:pStyle w:val="23"/>
              <w:spacing w:before="154" w:line="240" w:lineRule="auto"/>
              <w:ind w:left="102"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联系人：余女士</w:t>
            </w:r>
          </w:p>
          <w:p>
            <w:pPr>
              <w:pStyle w:val="23"/>
              <w:spacing w:before="154" w:line="240" w:lineRule="auto"/>
              <w:ind w:left="102" w:right="0"/>
              <w:jc w:val="left"/>
              <w:rPr>
                <w:rFonts w:ascii="宋体" w:hAnsi="宋体" w:eastAsia="宋体" w:cs="宋体"/>
                <w:sz w:val="24"/>
                <w:szCs w:val="24"/>
                <w:highlight w:val="none"/>
              </w:rPr>
            </w:pPr>
            <w:r>
              <w:rPr>
                <w:rFonts w:hint="eastAsia" w:ascii="宋体" w:hAnsi="宋体" w:eastAsia="宋体" w:cs="宋体"/>
                <w:sz w:val="24"/>
                <w:szCs w:val="24"/>
                <w:highlight w:val="none"/>
              </w:rPr>
              <w:t>联系方式：13623950789</w:t>
            </w:r>
          </w:p>
        </w:tc>
      </w:tr>
      <w:tr>
        <w:tblPrEx>
          <w:tblCellMar>
            <w:top w:w="0" w:type="dxa"/>
            <w:left w:w="0" w:type="dxa"/>
            <w:bottom w:w="0" w:type="dxa"/>
            <w:right w:w="0" w:type="dxa"/>
          </w:tblCellMar>
        </w:tblPrEx>
        <w:trPr>
          <w:trHeight w:val="45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245" w:right="0"/>
              <w:jc w:val="left"/>
              <w:rPr>
                <w:rFonts w:ascii="宋体" w:hAnsi="宋体" w:eastAsia="宋体" w:cs="宋体"/>
                <w:sz w:val="24"/>
                <w:szCs w:val="24"/>
                <w:highlight w:val="none"/>
              </w:rPr>
            </w:pPr>
            <w:r>
              <w:rPr>
                <w:rFonts w:ascii="宋体"/>
                <w:sz w:val="24"/>
                <w:highlight w:val="none"/>
              </w:rPr>
              <w:t>1.1.4</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846" w:right="0"/>
              <w:jc w:val="left"/>
              <w:rPr>
                <w:rFonts w:ascii="宋体" w:hAnsi="宋体" w:eastAsia="宋体" w:cs="宋体"/>
                <w:sz w:val="24"/>
                <w:szCs w:val="24"/>
                <w:highlight w:val="none"/>
              </w:rPr>
            </w:pPr>
            <w:r>
              <w:rPr>
                <w:rFonts w:ascii="宋体" w:hAnsi="宋体" w:eastAsia="宋体" w:cs="宋体"/>
                <w:sz w:val="24"/>
                <w:szCs w:val="24"/>
                <w:highlight w:val="none"/>
              </w:rPr>
              <w:t>项目名称</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102" w:right="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官渡镇农业产业强镇建设设备购置项目</w:t>
            </w:r>
          </w:p>
        </w:tc>
      </w:tr>
      <w:tr>
        <w:tblPrEx>
          <w:tblCellMar>
            <w:top w:w="0" w:type="dxa"/>
            <w:left w:w="0" w:type="dxa"/>
            <w:bottom w:w="0" w:type="dxa"/>
            <w:right w:w="0" w:type="dxa"/>
          </w:tblCellMar>
        </w:tblPrEx>
        <w:trPr>
          <w:trHeight w:val="45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245" w:right="0"/>
              <w:jc w:val="left"/>
              <w:rPr>
                <w:rFonts w:ascii="宋体" w:hAnsi="宋体" w:eastAsia="宋体" w:cs="宋体"/>
                <w:sz w:val="24"/>
                <w:szCs w:val="24"/>
                <w:highlight w:val="none"/>
              </w:rPr>
            </w:pPr>
            <w:r>
              <w:rPr>
                <w:rFonts w:ascii="宋体"/>
                <w:sz w:val="24"/>
                <w:highlight w:val="none"/>
              </w:rPr>
              <w:t>1.1.5</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606" w:right="0"/>
              <w:jc w:val="left"/>
              <w:rPr>
                <w:rFonts w:ascii="宋体" w:hAnsi="宋体" w:eastAsia="宋体" w:cs="宋体"/>
                <w:sz w:val="24"/>
                <w:szCs w:val="24"/>
                <w:highlight w:val="none"/>
              </w:rPr>
            </w:pPr>
            <w:r>
              <w:rPr>
                <w:rFonts w:ascii="宋体" w:hAnsi="宋体" w:eastAsia="宋体" w:cs="宋体"/>
                <w:sz w:val="24"/>
                <w:szCs w:val="24"/>
                <w:highlight w:val="none"/>
              </w:rPr>
              <w:t>项目实施地点</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102" w:right="0"/>
              <w:jc w:val="left"/>
              <w:rPr>
                <w:rFonts w:ascii="宋体" w:hAnsi="宋体" w:eastAsia="宋体" w:cs="宋体"/>
                <w:sz w:val="24"/>
                <w:szCs w:val="24"/>
                <w:highlight w:val="none"/>
              </w:rPr>
            </w:pPr>
            <w:r>
              <w:rPr>
                <w:rFonts w:hint="eastAsia"/>
                <w:highlight w:val="none"/>
                <w:lang w:eastAsia="zh-CN"/>
              </w:rPr>
              <w:t>以</w:t>
            </w:r>
            <w:r>
              <w:rPr>
                <w:highlight w:val="none"/>
              </w:rPr>
              <w:t>采购人指定地点</w:t>
            </w:r>
            <w:r>
              <w:rPr>
                <w:rFonts w:hint="eastAsia"/>
                <w:highlight w:val="none"/>
                <w:lang w:eastAsia="zh-CN"/>
              </w:rPr>
              <w:t>为准</w:t>
            </w:r>
          </w:p>
        </w:tc>
      </w:tr>
      <w:tr>
        <w:tblPrEx>
          <w:tblCellMar>
            <w:top w:w="0" w:type="dxa"/>
            <w:left w:w="0" w:type="dxa"/>
            <w:bottom w:w="0" w:type="dxa"/>
            <w:right w:w="0" w:type="dxa"/>
          </w:tblCellMar>
        </w:tblPrEx>
        <w:trPr>
          <w:trHeight w:val="45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245" w:right="0"/>
              <w:jc w:val="left"/>
              <w:rPr>
                <w:rFonts w:ascii="宋体" w:hAnsi="宋体" w:eastAsia="宋体" w:cs="宋体"/>
                <w:sz w:val="24"/>
                <w:szCs w:val="24"/>
                <w:highlight w:val="none"/>
              </w:rPr>
            </w:pPr>
            <w:r>
              <w:rPr>
                <w:rFonts w:ascii="宋体"/>
                <w:sz w:val="24"/>
                <w:highlight w:val="none"/>
              </w:rPr>
              <w:t>1.2.1</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846" w:right="0"/>
              <w:jc w:val="left"/>
              <w:rPr>
                <w:rFonts w:ascii="宋体" w:hAnsi="宋体" w:eastAsia="宋体" w:cs="宋体"/>
                <w:sz w:val="24"/>
                <w:szCs w:val="24"/>
                <w:highlight w:val="none"/>
              </w:rPr>
            </w:pPr>
            <w:r>
              <w:rPr>
                <w:rFonts w:ascii="宋体" w:hAnsi="宋体" w:eastAsia="宋体" w:cs="宋体"/>
                <w:sz w:val="24"/>
                <w:szCs w:val="24"/>
                <w:highlight w:val="none"/>
              </w:rPr>
              <w:t>资金来源</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102" w:right="0"/>
              <w:jc w:val="left"/>
              <w:rPr>
                <w:rFonts w:ascii="宋体" w:hAnsi="宋体" w:eastAsia="宋体" w:cs="宋体"/>
                <w:sz w:val="24"/>
                <w:szCs w:val="24"/>
                <w:highlight w:val="none"/>
              </w:rPr>
            </w:pPr>
            <w:r>
              <w:rPr>
                <w:rFonts w:ascii="宋体" w:hAnsi="宋体" w:eastAsia="宋体" w:cs="宋体"/>
                <w:sz w:val="24"/>
                <w:szCs w:val="24"/>
                <w:highlight w:val="none"/>
              </w:rPr>
              <w:t>财政</w:t>
            </w:r>
            <w:r>
              <w:rPr>
                <w:rFonts w:hint="eastAsia" w:ascii="宋体" w:hAnsi="宋体" w:eastAsia="宋体" w:cs="宋体"/>
                <w:sz w:val="24"/>
                <w:szCs w:val="24"/>
                <w:highlight w:val="none"/>
                <w:lang w:val="en-US" w:eastAsia="zh-CN"/>
              </w:rPr>
              <w:t>+自筹</w:t>
            </w:r>
            <w:r>
              <w:rPr>
                <w:rFonts w:ascii="宋体" w:hAnsi="宋体" w:eastAsia="宋体" w:cs="宋体"/>
                <w:sz w:val="24"/>
                <w:szCs w:val="24"/>
                <w:highlight w:val="none"/>
              </w:rPr>
              <w:t>资金</w:t>
            </w:r>
          </w:p>
        </w:tc>
      </w:tr>
      <w:tr>
        <w:tblPrEx>
          <w:tblCellMar>
            <w:top w:w="0" w:type="dxa"/>
            <w:left w:w="0" w:type="dxa"/>
            <w:bottom w:w="0" w:type="dxa"/>
            <w:right w:w="0" w:type="dxa"/>
          </w:tblCellMar>
        </w:tblPrEx>
        <w:trPr>
          <w:trHeight w:val="45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8" w:line="240" w:lineRule="auto"/>
              <w:ind w:left="245" w:right="0"/>
              <w:jc w:val="left"/>
              <w:rPr>
                <w:rFonts w:ascii="宋体" w:hAnsi="宋体" w:eastAsia="宋体" w:cs="宋体"/>
                <w:sz w:val="24"/>
                <w:szCs w:val="24"/>
                <w:highlight w:val="none"/>
              </w:rPr>
            </w:pPr>
            <w:r>
              <w:rPr>
                <w:rFonts w:ascii="宋体"/>
                <w:sz w:val="24"/>
                <w:highlight w:val="none"/>
              </w:rPr>
              <w:t>1.2.2</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8" w:line="240" w:lineRule="auto"/>
              <w:ind w:left="846" w:right="0"/>
              <w:jc w:val="left"/>
              <w:rPr>
                <w:rFonts w:ascii="宋体" w:hAnsi="宋体" w:eastAsia="宋体" w:cs="宋体"/>
                <w:sz w:val="24"/>
                <w:szCs w:val="24"/>
                <w:highlight w:val="none"/>
              </w:rPr>
            </w:pPr>
            <w:r>
              <w:rPr>
                <w:rFonts w:ascii="宋体" w:hAnsi="宋体" w:eastAsia="宋体" w:cs="宋体"/>
                <w:sz w:val="24"/>
                <w:szCs w:val="24"/>
                <w:highlight w:val="none"/>
              </w:rPr>
              <w:t>出资比例</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8" w:line="240" w:lineRule="auto"/>
              <w:ind w:left="102" w:right="0"/>
              <w:jc w:val="left"/>
              <w:rPr>
                <w:rFonts w:ascii="宋体" w:hAnsi="宋体" w:eastAsia="宋体" w:cs="宋体"/>
                <w:sz w:val="24"/>
                <w:szCs w:val="24"/>
                <w:highlight w:val="none"/>
              </w:rPr>
            </w:pPr>
            <w:r>
              <w:rPr>
                <w:rFonts w:ascii="宋体" w:hAnsi="宋体" w:eastAsia="宋体" w:cs="宋体"/>
                <w:sz w:val="24"/>
                <w:szCs w:val="24"/>
                <w:highlight w:val="none"/>
              </w:rPr>
              <w:t>100%</w:t>
            </w:r>
          </w:p>
        </w:tc>
      </w:tr>
      <w:tr>
        <w:tblPrEx>
          <w:tblCellMar>
            <w:top w:w="0" w:type="dxa"/>
            <w:left w:w="0" w:type="dxa"/>
            <w:bottom w:w="0" w:type="dxa"/>
            <w:right w:w="0" w:type="dxa"/>
          </w:tblCellMar>
        </w:tblPrEx>
        <w:trPr>
          <w:trHeight w:val="45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245" w:right="0"/>
              <w:jc w:val="left"/>
              <w:rPr>
                <w:rFonts w:ascii="宋体" w:hAnsi="宋体" w:eastAsia="宋体" w:cs="宋体"/>
                <w:sz w:val="24"/>
                <w:szCs w:val="24"/>
                <w:highlight w:val="none"/>
              </w:rPr>
            </w:pPr>
            <w:r>
              <w:rPr>
                <w:rFonts w:ascii="宋体"/>
                <w:sz w:val="24"/>
                <w:highlight w:val="none"/>
              </w:rPr>
              <w:t>1.2.3</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606" w:right="0"/>
              <w:jc w:val="left"/>
              <w:rPr>
                <w:rFonts w:ascii="宋体" w:hAnsi="宋体" w:eastAsia="宋体" w:cs="宋体"/>
                <w:sz w:val="24"/>
                <w:szCs w:val="24"/>
                <w:highlight w:val="none"/>
              </w:rPr>
            </w:pPr>
            <w:r>
              <w:rPr>
                <w:rFonts w:ascii="宋体" w:hAnsi="宋体" w:eastAsia="宋体" w:cs="宋体"/>
                <w:sz w:val="24"/>
                <w:szCs w:val="24"/>
                <w:highlight w:val="none"/>
              </w:rPr>
              <w:t>资金落实情况</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right="0"/>
              <w:jc w:val="left"/>
              <w:rPr>
                <w:rFonts w:ascii="宋体" w:hAnsi="宋体" w:eastAsia="宋体" w:cs="宋体"/>
                <w:sz w:val="24"/>
                <w:szCs w:val="24"/>
                <w:highlight w:val="none"/>
              </w:rPr>
            </w:pPr>
            <w:r>
              <w:rPr>
                <w:rFonts w:ascii="宋体" w:hAnsi="宋体" w:eastAsia="宋体" w:cs="宋体"/>
                <w:sz w:val="24"/>
                <w:szCs w:val="24"/>
                <w:highlight w:val="none"/>
              </w:rPr>
              <w:t>已落实</w:t>
            </w:r>
          </w:p>
        </w:tc>
      </w:tr>
      <w:tr>
        <w:tblPrEx>
          <w:tblCellMar>
            <w:top w:w="0" w:type="dxa"/>
            <w:left w:w="0" w:type="dxa"/>
            <w:bottom w:w="0" w:type="dxa"/>
            <w:right w:w="0" w:type="dxa"/>
          </w:tblCellMar>
        </w:tblPrEx>
        <w:trPr>
          <w:trHeight w:val="2226" w:hRule="exact"/>
        </w:trPr>
        <w:tc>
          <w:tcPr>
            <w:tcW w:w="1100" w:type="dxa"/>
            <w:tcBorders>
              <w:top w:val="single" w:color="000000" w:sz="4" w:space="0"/>
              <w:left w:val="single" w:color="000000" w:sz="4" w:space="0"/>
              <w:bottom w:val="single" w:color="000000" w:sz="4" w:space="0"/>
              <w:right w:val="single" w:color="000000" w:sz="4" w:space="0"/>
            </w:tcBorders>
            <w:vAlign w:val="center"/>
          </w:tcPr>
          <w:p>
            <w:pPr>
              <w:pStyle w:val="23"/>
              <w:spacing w:before="57" w:line="240" w:lineRule="auto"/>
              <w:ind w:left="245" w:right="0"/>
              <w:jc w:val="both"/>
              <w:rPr>
                <w:rFonts w:ascii="宋体" w:hAnsi="宋体" w:eastAsia="宋体" w:cs="宋体"/>
                <w:sz w:val="24"/>
                <w:szCs w:val="24"/>
                <w:highlight w:val="none"/>
              </w:rPr>
            </w:pPr>
            <w:r>
              <w:rPr>
                <w:rFonts w:ascii="宋体"/>
                <w:sz w:val="24"/>
                <w:highlight w:val="none"/>
              </w:rPr>
              <w:t>1.3.1</w:t>
            </w:r>
          </w:p>
        </w:tc>
        <w:tc>
          <w:tcPr>
            <w:tcW w:w="2664" w:type="dxa"/>
            <w:tcBorders>
              <w:top w:val="single" w:color="000000" w:sz="4" w:space="0"/>
              <w:left w:val="single" w:color="000000" w:sz="4" w:space="0"/>
              <w:bottom w:val="single" w:color="000000" w:sz="4" w:space="0"/>
              <w:right w:val="single" w:color="000000" w:sz="4" w:space="0"/>
            </w:tcBorders>
            <w:vAlign w:val="center"/>
          </w:tcPr>
          <w:p>
            <w:pPr>
              <w:pStyle w:val="23"/>
              <w:spacing w:before="57" w:line="240" w:lineRule="auto"/>
              <w:ind w:right="0" w:firstLine="240" w:firstLineChars="100"/>
              <w:jc w:val="both"/>
              <w:rPr>
                <w:rFonts w:ascii="宋体" w:hAnsi="宋体" w:eastAsia="宋体" w:cs="宋体"/>
                <w:sz w:val="24"/>
                <w:szCs w:val="24"/>
                <w:highlight w:val="none"/>
              </w:rPr>
            </w:pPr>
            <w:r>
              <w:rPr>
                <w:rFonts w:hint="eastAsia" w:ascii="宋体" w:hAnsi="宋体" w:eastAsia="宋体" w:cs="宋体"/>
                <w:sz w:val="24"/>
                <w:szCs w:val="24"/>
                <w:highlight w:val="none"/>
                <w:lang w:eastAsia="zh-CN"/>
              </w:rPr>
              <w:t>标段划分及</w:t>
            </w:r>
            <w:r>
              <w:rPr>
                <w:rFonts w:ascii="宋体" w:hAnsi="宋体" w:eastAsia="宋体" w:cs="宋体"/>
                <w:sz w:val="24"/>
                <w:szCs w:val="24"/>
                <w:highlight w:val="none"/>
              </w:rPr>
              <w:t>采购内容</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A</w:t>
            </w:r>
            <w:r>
              <w:rPr>
                <w:rFonts w:hint="eastAsia" w:ascii="宋体" w:hAnsi="宋体" w:eastAsia="宋体" w:cs="宋体"/>
                <w:sz w:val="24"/>
                <w:szCs w:val="24"/>
                <w:highlight w:val="none"/>
              </w:rPr>
              <w:t>包：官渡镇党庄村日光温室建设设备及配套设施，具体详见招标文件要求；</w:t>
            </w:r>
          </w:p>
          <w:p>
            <w:pPr>
              <w:pStyle w:val="23"/>
              <w:spacing w:before="57" w:line="240" w:lineRule="auto"/>
              <w:ind w:left="102"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B</w:t>
            </w:r>
            <w:r>
              <w:rPr>
                <w:rFonts w:hint="eastAsia" w:ascii="宋体" w:hAnsi="宋体" w:eastAsia="宋体" w:cs="宋体"/>
                <w:sz w:val="24"/>
                <w:szCs w:val="24"/>
                <w:highlight w:val="none"/>
              </w:rPr>
              <w:t>包：农产品冷藏库建设项目制冷设备及配套设施，具体详见招标文件要求；</w:t>
            </w:r>
          </w:p>
          <w:p>
            <w:pPr>
              <w:pStyle w:val="23"/>
              <w:spacing w:before="57" w:line="240" w:lineRule="auto"/>
              <w:ind w:left="102" w:right="0"/>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C</w:t>
            </w:r>
            <w:r>
              <w:rPr>
                <w:rFonts w:hint="eastAsia" w:ascii="宋体" w:hAnsi="宋体" w:eastAsia="宋体" w:cs="宋体"/>
                <w:sz w:val="24"/>
                <w:szCs w:val="24"/>
                <w:highlight w:val="none"/>
              </w:rPr>
              <w:t>包：酱菜腌制加工项目生产设备，具体详见招标文件要求；</w:t>
            </w:r>
          </w:p>
        </w:tc>
      </w:tr>
      <w:tr>
        <w:tblPrEx>
          <w:tblCellMar>
            <w:top w:w="0" w:type="dxa"/>
            <w:left w:w="0" w:type="dxa"/>
            <w:bottom w:w="0" w:type="dxa"/>
            <w:right w:w="0" w:type="dxa"/>
          </w:tblCellMar>
        </w:tblPrEx>
        <w:trPr>
          <w:trHeight w:val="705"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245" w:right="0"/>
              <w:jc w:val="left"/>
              <w:rPr>
                <w:rFonts w:ascii="宋体" w:hAnsi="宋体" w:eastAsia="宋体" w:cs="宋体"/>
                <w:sz w:val="24"/>
                <w:szCs w:val="24"/>
                <w:highlight w:val="none"/>
              </w:rPr>
            </w:pPr>
            <w:r>
              <w:rPr>
                <w:rFonts w:ascii="宋体"/>
                <w:sz w:val="24"/>
                <w:highlight w:val="none"/>
              </w:rPr>
              <w:t>1.3.2</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846" w:right="0"/>
              <w:jc w:val="left"/>
              <w:rPr>
                <w:rFonts w:ascii="宋体" w:hAnsi="宋体" w:eastAsia="宋体" w:cs="宋体"/>
                <w:sz w:val="24"/>
                <w:szCs w:val="24"/>
                <w:highlight w:val="none"/>
              </w:rPr>
            </w:pPr>
            <w:r>
              <w:rPr>
                <w:rFonts w:ascii="宋体" w:hAnsi="宋体" w:eastAsia="宋体" w:cs="宋体"/>
                <w:sz w:val="24"/>
                <w:szCs w:val="24"/>
                <w:highlight w:val="none"/>
              </w:rPr>
              <w:t>质量要求</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102" w:right="0"/>
              <w:jc w:val="left"/>
              <w:rPr>
                <w:rFonts w:ascii="宋体" w:hAnsi="宋体" w:eastAsia="宋体" w:cs="宋体"/>
                <w:sz w:val="24"/>
                <w:szCs w:val="24"/>
                <w:highlight w:val="none"/>
              </w:rPr>
            </w:pPr>
            <w:r>
              <w:rPr>
                <w:rFonts w:hint="eastAsia" w:ascii="宋体" w:hAnsi="宋体" w:eastAsia="宋体" w:cs="宋体"/>
                <w:sz w:val="24"/>
                <w:szCs w:val="24"/>
                <w:highlight w:val="none"/>
              </w:rPr>
              <w:t>符合国家或行业规定的合格标准</w:t>
            </w:r>
            <w:r>
              <w:rPr>
                <w:rFonts w:hint="eastAsia" w:ascii="宋体" w:hAnsi="宋体" w:eastAsia="宋体" w:cs="宋体"/>
                <w:sz w:val="24"/>
                <w:szCs w:val="24"/>
                <w:highlight w:val="none"/>
                <w:lang w:eastAsia="zh-CN"/>
              </w:rPr>
              <w:t>，满足采购人的验收标准及要求</w:t>
            </w:r>
          </w:p>
        </w:tc>
      </w:tr>
      <w:tr>
        <w:tblPrEx>
          <w:tblCellMar>
            <w:top w:w="0" w:type="dxa"/>
            <w:left w:w="0" w:type="dxa"/>
            <w:bottom w:w="0" w:type="dxa"/>
            <w:right w:w="0" w:type="dxa"/>
          </w:tblCellMar>
        </w:tblPrEx>
        <w:trPr>
          <w:trHeight w:val="45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245" w:right="0"/>
              <w:jc w:val="left"/>
              <w:rPr>
                <w:rFonts w:ascii="宋体" w:hAnsi="宋体" w:eastAsia="宋体" w:cs="宋体"/>
                <w:sz w:val="24"/>
                <w:szCs w:val="24"/>
                <w:highlight w:val="none"/>
              </w:rPr>
            </w:pPr>
            <w:r>
              <w:rPr>
                <w:rFonts w:ascii="宋体"/>
                <w:sz w:val="24"/>
                <w:highlight w:val="none"/>
              </w:rPr>
              <w:t>1.3.3</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606" w:right="0"/>
              <w:jc w:val="left"/>
              <w:rPr>
                <w:rFonts w:ascii="宋体" w:hAnsi="宋体" w:eastAsia="宋体" w:cs="宋体"/>
                <w:sz w:val="24"/>
                <w:szCs w:val="24"/>
                <w:highlight w:val="none"/>
              </w:rPr>
            </w:pPr>
            <w:r>
              <w:rPr>
                <w:rFonts w:ascii="宋体" w:hAnsi="宋体" w:eastAsia="宋体" w:cs="宋体"/>
                <w:sz w:val="24"/>
                <w:szCs w:val="24"/>
                <w:highlight w:val="none"/>
              </w:rPr>
              <w:t>交货及安装期</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6" w:line="240" w:lineRule="auto"/>
              <w:ind w:left="102" w:right="0"/>
              <w:jc w:val="left"/>
              <w:rPr>
                <w:rFonts w:ascii="宋体" w:hAnsi="宋体" w:eastAsia="宋体" w:cs="宋体"/>
                <w:sz w:val="24"/>
                <w:szCs w:val="24"/>
                <w:highlight w:val="none"/>
              </w:rPr>
            </w:pPr>
            <w:r>
              <w:rPr>
                <w:rFonts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40</w:t>
            </w:r>
            <w:r>
              <w:rPr>
                <w:rFonts w:ascii="宋体" w:hAnsi="宋体" w:eastAsia="宋体" w:cs="宋体"/>
                <w:color w:val="auto"/>
                <w:sz w:val="24"/>
                <w:szCs w:val="24"/>
                <w:highlight w:val="none"/>
              </w:rPr>
              <w:t>日历天</w:t>
            </w:r>
            <w:r>
              <w:rPr>
                <w:rFonts w:hint="eastAsia" w:ascii="宋体" w:hAnsi="宋体" w:eastAsia="宋体" w:cs="宋体"/>
                <w:color w:val="auto"/>
                <w:sz w:val="24"/>
                <w:szCs w:val="24"/>
                <w:highlight w:val="none"/>
                <w:lang w:eastAsia="zh-CN"/>
              </w:rPr>
              <w:t>安装调试完毕</w:t>
            </w:r>
          </w:p>
        </w:tc>
      </w:tr>
      <w:tr>
        <w:tblPrEx>
          <w:tblCellMar>
            <w:top w:w="0" w:type="dxa"/>
            <w:left w:w="0" w:type="dxa"/>
            <w:bottom w:w="0" w:type="dxa"/>
            <w:right w:w="0" w:type="dxa"/>
          </w:tblCellMar>
        </w:tblPrEx>
        <w:trPr>
          <w:trHeight w:val="1289" w:hRule="exact"/>
        </w:trPr>
        <w:tc>
          <w:tcPr>
            <w:tcW w:w="1100" w:type="dxa"/>
            <w:tcBorders>
              <w:top w:val="single" w:color="000000" w:sz="4" w:space="0"/>
              <w:left w:val="single" w:color="000000" w:sz="4" w:space="0"/>
              <w:bottom w:val="single" w:color="000000" w:sz="4" w:space="0"/>
              <w:right w:val="single" w:color="000000" w:sz="4" w:space="0"/>
            </w:tcBorders>
            <w:vAlign w:val="center"/>
          </w:tcPr>
          <w:p>
            <w:pPr>
              <w:pStyle w:val="23"/>
              <w:spacing w:before="214" w:line="240" w:lineRule="auto"/>
              <w:ind w:left="245" w:right="0"/>
              <w:jc w:val="left"/>
              <w:rPr>
                <w:rFonts w:ascii="宋体"/>
                <w:sz w:val="24"/>
                <w:highlight w:val="none"/>
              </w:rPr>
            </w:pPr>
            <w:r>
              <w:rPr>
                <w:rFonts w:ascii="宋体"/>
                <w:sz w:val="24"/>
                <w:highlight w:val="none"/>
              </w:rPr>
              <w:t>1.4.1</w:t>
            </w:r>
          </w:p>
        </w:tc>
        <w:tc>
          <w:tcPr>
            <w:tcW w:w="2664" w:type="dxa"/>
            <w:tcBorders>
              <w:top w:val="single" w:color="000000" w:sz="4" w:space="0"/>
              <w:left w:val="single" w:color="000000" w:sz="4" w:space="0"/>
              <w:bottom w:val="single" w:color="000000" w:sz="4" w:space="0"/>
              <w:right w:val="single" w:color="000000" w:sz="4" w:space="0"/>
            </w:tcBorders>
            <w:vAlign w:val="center"/>
          </w:tcPr>
          <w:p>
            <w:pPr>
              <w:pStyle w:val="23"/>
              <w:spacing w:before="214" w:line="240" w:lineRule="auto"/>
              <w:ind w:left="245" w:right="0"/>
              <w:jc w:val="left"/>
              <w:rPr>
                <w:rFonts w:ascii="宋体"/>
                <w:sz w:val="24"/>
                <w:highlight w:val="none"/>
              </w:rPr>
            </w:pPr>
            <w:r>
              <w:rPr>
                <w:rFonts w:ascii="宋体"/>
                <w:sz w:val="24"/>
                <w:highlight w:val="none"/>
              </w:rPr>
              <w:t>供应商资格条件</w:t>
            </w:r>
          </w:p>
        </w:tc>
        <w:tc>
          <w:tcPr>
            <w:tcW w:w="6141" w:type="dxa"/>
            <w:tcBorders>
              <w:top w:val="single" w:color="000000" w:sz="4" w:space="0"/>
              <w:left w:val="single" w:color="000000" w:sz="4" w:space="0"/>
              <w:bottom w:val="single" w:color="000000" w:sz="4" w:space="0"/>
              <w:right w:val="single" w:color="000000" w:sz="4" w:space="0"/>
            </w:tcBorders>
            <w:vAlign w:val="center"/>
          </w:tcPr>
          <w:p>
            <w:pPr>
              <w:pStyle w:val="23"/>
              <w:spacing w:before="1" w:line="460" w:lineRule="atLeast"/>
              <w:ind w:left="102" w:right="103"/>
              <w:jc w:val="both"/>
              <w:rPr>
                <w:rFonts w:ascii="宋体" w:hAnsi="宋体" w:eastAsia="宋体" w:cs="宋体"/>
                <w:sz w:val="24"/>
                <w:szCs w:val="24"/>
                <w:highlight w:val="none"/>
              </w:rPr>
            </w:pPr>
            <w:r>
              <w:rPr>
                <w:rFonts w:hint="eastAsia" w:ascii="宋体" w:hAnsi="宋体" w:eastAsia="宋体" w:cs="宋体"/>
                <w:sz w:val="24"/>
                <w:szCs w:val="24"/>
                <w:highlight w:val="none"/>
              </w:rPr>
              <w:t>见本招标文件“第一章  招标公告”二、申请人的资格要求</w:t>
            </w:r>
          </w:p>
        </w:tc>
      </w:tr>
      <w:tr>
        <w:tblPrEx>
          <w:tblCellMar>
            <w:top w:w="0" w:type="dxa"/>
            <w:left w:w="0" w:type="dxa"/>
            <w:bottom w:w="0" w:type="dxa"/>
            <w:right w:w="0" w:type="dxa"/>
          </w:tblCellMar>
        </w:tblPrEx>
        <w:trPr>
          <w:trHeight w:val="655"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56" w:line="240" w:lineRule="auto"/>
              <w:ind w:left="245" w:leftChars="0" w:right="0" w:rightChars="0"/>
              <w:jc w:val="left"/>
              <w:rPr>
                <w:rFonts w:ascii="宋体" w:hAnsi="宋体" w:eastAsia="宋体" w:cs="宋体"/>
                <w:sz w:val="24"/>
                <w:szCs w:val="24"/>
                <w:highlight w:val="none"/>
                <w:lang w:val="en-US" w:eastAsia="en-US" w:bidi="ar-SA"/>
              </w:rPr>
            </w:pPr>
            <w:r>
              <w:rPr>
                <w:rFonts w:ascii="宋体"/>
                <w:sz w:val="24"/>
                <w:highlight w:val="none"/>
              </w:rPr>
              <w:t>1.4.2</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56" w:line="240" w:lineRule="auto"/>
              <w:ind w:left="246"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是否接受联合体投标</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27" w:line="240" w:lineRule="auto"/>
              <w:ind w:left="102" w:leftChars="0" w:right="0" w:rightChars="0"/>
              <w:jc w:val="left"/>
              <w:rPr>
                <w:rFonts w:hint="eastAsia" w:ascii="宋体" w:hAnsi="宋体" w:eastAsia="宋体" w:cs="宋体"/>
                <w:sz w:val="24"/>
                <w:szCs w:val="24"/>
                <w:highlight w:val="none"/>
                <w:lang w:val="en-US" w:eastAsia="en-US" w:bidi="ar-SA"/>
              </w:rPr>
            </w:pPr>
            <w:r>
              <w:rPr>
                <w:rFonts w:ascii="宋体" w:hAnsi="宋体" w:eastAsia="宋体" w:cs="宋体"/>
                <w:sz w:val="24"/>
                <w:szCs w:val="24"/>
                <w:highlight w:val="none"/>
              </w:rPr>
              <w:t>否</w:t>
            </w:r>
          </w:p>
        </w:tc>
      </w:tr>
      <w:tr>
        <w:tblPrEx>
          <w:tblCellMar>
            <w:top w:w="0" w:type="dxa"/>
            <w:left w:w="0" w:type="dxa"/>
            <w:bottom w:w="0" w:type="dxa"/>
            <w:right w:w="0" w:type="dxa"/>
          </w:tblCellMar>
        </w:tblPrEx>
        <w:trPr>
          <w:trHeight w:val="655"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58" w:line="240" w:lineRule="auto"/>
              <w:ind w:left="245" w:leftChars="0" w:right="0" w:rightChars="0"/>
              <w:jc w:val="left"/>
              <w:rPr>
                <w:rFonts w:ascii="宋体" w:hAnsi="宋体" w:eastAsia="宋体" w:cs="宋体"/>
                <w:sz w:val="24"/>
                <w:szCs w:val="24"/>
                <w:highlight w:val="none"/>
                <w:lang w:val="en-US" w:eastAsia="en-US" w:bidi="ar-SA"/>
              </w:rPr>
            </w:pPr>
            <w:r>
              <w:rPr>
                <w:rFonts w:ascii="宋体"/>
                <w:sz w:val="24"/>
                <w:highlight w:val="none"/>
              </w:rPr>
              <w:t>1.9.1</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58" w:line="240" w:lineRule="auto"/>
              <w:ind w:left="846"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踏勘现场</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58" w:line="240" w:lineRule="auto"/>
              <w:ind w:left="102" w:leftChars="0" w:right="0" w:rightChars="0"/>
              <w:jc w:val="left"/>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不组织</w:t>
            </w:r>
          </w:p>
        </w:tc>
      </w:tr>
      <w:tr>
        <w:tblPrEx>
          <w:tblCellMar>
            <w:top w:w="0" w:type="dxa"/>
            <w:left w:w="0" w:type="dxa"/>
            <w:bottom w:w="0" w:type="dxa"/>
            <w:right w:w="0" w:type="dxa"/>
          </w:tblCellMar>
        </w:tblPrEx>
        <w:trPr>
          <w:trHeight w:val="655"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185" w:leftChars="0" w:right="0" w:rightChars="0"/>
              <w:jc w:val="left"/>
              <w:rPr>
                <w:rFonts w:ascii="宋体" w:hAnsi="宋体" w:eastAsia="宋体" w:cs="宋体"/>
                <w:sz w:val="24"/>
                <w:szCs w:val="24"/>
                <w:highlight w:val="none"/>
                <w:lang w:val="en-US" w:eastAsia="en-US" w:bidi="ar-SA"/>
              </w:rPr>
            </w:pPr>
            <w:r>
              <w:rPr>
                <w:rFonts w:ascii="宋体"/>
                <w:sz w:val="24"/>
                <w:highlight w:val="none"/>
              </w:rPr>
              <w:t>1.10.1</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726"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投标预备会</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102" w:leftChars="0" w:right="0" w:rightChars="0"/>
              <w:jc w:val="left"/>
              <w:rPr>
                <w:rFonts w:hint="eastAsia" w:ascii="宋体" w:hAnsi="宋体" w:eastAsia="宋体" w:cs="宋体"/>
                <w:sz w:val="24"/>
                <w:szCs w:val="24"/>
                <w:highlight w:val="none"/>
                <w:lang w:val="en-US" w:eastAsia="en-US" w:bidi="ar-SA"/>
              </w:rPr>
            </w:pPr>
            <w:r>
              <w:rPr>
                <w:rFonts w:ascii="宋体" w:hAnsi="宋体" w:eastAsia="宋体" w:cs="宋体"/>
                <w:sz w:val="24"/>
                <w:szCs w:val="24"/>
                <w:highlight w:val="none"/>
              </w:rPr>
              <w:t>不召开</w:t>
            </w:r>
          </w:p>
        </w:tc>
      </w:tr>
      <w:tr>
        <w:tblPrEx>
          <w:tblCellMar>
            <w:top w:w="0" w:type="dxa"/>
            <w:left w:w="0" w:type="dxa"/>
            <w:bottom w:w="0" w:type="dxa"/>
            <w:right w:w="0" w:type="dxa"/>
          </w:tblCellMar>
        </w:tblPrEx>
        <w:trPr>
          <w:trHeight w:val="655"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305" w:leftChars="0" w:right="0" w:rightChars="0"/>
              <w:jc w:val="left"/>
              <w:rPr>
                <w:rFonts w:ascii="宋体" w:hAnsi="宋体" w:eastAsia="宋体" w:cs="宋体"/>
                <w:sz w:val="24"/>
                <w:szCs w:val="24"/>
                <w:highlight w:val="none"/>
                <w:lang w:val="en-US" w:eastAsia="en-US" w:bidi="ar-SA"/>
              </w:rPr>
            </w:pPr>
            <w:r>
              <w:rPr>
                <w:rFonts w:ascii="宋体"/>
                <w:sz w:val="24"/>
                <w:highlight w:val="none"/>
              </w:rPr>
              <w:t>1.11</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right="1" w:rightChars="0"/>
              <w:jc w:val="center"/>
              <w:rPr>
                <w:rFonts w:ascii="宋体" w:hAnsi="宋体" w:eastAsia="宋体" w:cs="宋体"/>
                <w:sz w:val="24"/>
                <w:szCs w:val="24"/>
                <w:highlight w:val="none"/>
                <w:lang w:val="en-US" w:eastAsia="en-US" w:bidi="ar-SA"/>
              </w:rPr>
            </w:pPr>
            <w:r>
              <w:rPr>
                <w:rFonts w:ascii="宋体" w:hAnsi="宋体" w:eastAsia="宋体" w:cs="宋体"/>
                <w:sz w:val="24"/>
                <w:szCs w:val="24"/>
                <w:highlight w:val="none"/>
              </w:rPr>
              <w:t>分包</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102" w:leftChars="0" w:right="0" w:rightChars="0"/>
              <w:jc w:val="left"/>
              <w:rPr>
                <w:rFonts w:hint="eastAsia" w:ascii="宋体" w:hAnsi="宋体" w:eastAsia="宋体" w:cs="宋体"/>
                <w:sz w:val="24"/>
                <w:szCs w:val="24"/>
                <w:highlight w:val="none"/>
                <w:lang w:val="en-US" w:eastAsia="en-US" w:bidi="ar-SA"/>
              </w:rPr>
            </w:pPr>
            <w:r>
              <w:rPr>
                <w:rFonts w:ascii="宋体" w:hAnsi="宋体" w:eastAsia="宋体" w:cs="宋体"/>
                <w:sz w:val="24"/>
                <w:szCs w:val="24"/>
                <w:highlight w:val="none"/>
              </w:rPr>
              <w:t>不允许</w:t>
            </w:r>
          </w:p>
        </w:tc>
      </w:tr>
      <w:tr>
        <w:tblPrEx>
          <w:tblCellMar>
            <w:top w:w="0" w:type="dxa"/>
            <w:left w:w="0" w:type="dxa"/>
            <w:bottom w:w="0" w:type="dxa"/>
            <w:right w:w="0" w:type="dxa"/>
          </w:tblCellMar>
        </w:tblPrEx>
        <w:trPr>
          <w:trHeight w:val="655"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56" w:line="240" w:lineRule="auto"/>
              <w:ind w:left="305" w:leftChars="0" w:right="0" w:rightChars="0"/>
              <w:jc w:val="left"/>
              <w:rPr>
                <w:rFonts w:ascii="宋体" w:hAnsi="宋体" w:eastAsia="宋体" w:cs="宋体"/>
                <w:sz w:val="24"/>
                <w:szCs w:val="24"/>
                <w:highlight w:val="none"/>
                <w:lang w:val="en-US" w:eastAsia="en-US" w:bidi="ar-SA"/>
              </w:rPr>
            </w:pPr>
            <w:r>
              <w:rPr>
                <w:rFonts w:ascii="宋体"/>
                <w:sz w:val="24"/>
                <w:highlight w:val="none"/>
              </w:rPr>
              <w:t>1.12</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56" w:line="240" w:lineRule="auto"/>
              <w:ind w:right="1" w:rightChars="0"/>
              <w:jc w:val="center"/>
              <w:rPr>
                <w:rFonts w:ascii="宋体" w:hAnsi="宋体" w:eastAsia="宋体" w:cs="宋体"/>
                <w:sz w:val="24"/>
                <w:szCs w:val="24"/>
                <w:highlight w:val="none"/>
                <w:lang w:val="en-US" w:eastAsia="en-US" w:bidi="ar-SA"/>
              </w:rPr>
            </w:pPr>
            <w:r>
              <w:rPr>
                <w:rFonts w:ascii="宋体" w:hAnsi="宋体" w:eastAsia="宋体" w:cs="宋体"/>
                <w:sz w:val="24"/>
                <w:szCs w:val="24"/>
                <w:highlight w:val="none"/>
              </w:rPr>
              <w:t>偏离</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56" w:line="240" w:lineRule="auto"/>
              <w:ind w:left="102" w:leftChars="0" w:right="0" w:rightChars="0"/>
              <w:jc w:val="left"/>
              <w:rPr>
                <w:rFonts w:hint="eastAsia" w:ascii="宋体" w:hAnsi="宋体" w:eastAsia="宋体" w:cs="宋体"/>
                <w:sz w:val="24"/>
                <w:szCs w:val="24"/>
                <w:highlight w:val="none"/>
                <w:lang w:val="en-US" w:eastAsia="zh-CN" w:bidi="ar-SA"/>
              </w:rPr>
            </w:pPr>
            <w:r>
              <w:rPr>
                <w:rFonts w:ascii="宋体" w:hAnsi="宋体" w:eastAsia="宋体" w:cs="宋体"/>
                <w:sz w:val="24"/>
                <w:szCs w:val="24"/>
                <w:highlight w:val="none"/>
              </w:rPr>
              <w:t>不允许</w:t>
            </w:r>
            <w:r>
              <w:rPr>
                <w:rFonts w:hint="eastAsia" w:ascii="宋体" w:hAnsi="宋体" w:eastAsia="宋体" w:cs="宋体"/>
                <w:sz w:val="24"/>
                <w:szCs w:val="24"/>
                <w:highlight w:val="none"/>
                <w:lang w:eastAsia="zh-CN"/>
              </w:rPr>
              <w:t>重大偏离</w:t>
            </w:r>
          </w:p>
        </w:tc>
      </w:tr>
      <w:tr>
        <w:tblPrEx>
          <w:tblCellMar>
            <w:top w:w="0" w:type="dxa"/>
            <w:left w:w="0" w:type="dxa"/>
            <w:bottom w:w="0" w:type="dxa"/>
            <w:right w:w="0" w:type="dxa"/>
          </w:tblCellMar>
        </w:tblPrEx>
        <w:trPr>
          <w:trHeight w:val="655"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214" w:line="240" w:lineRule="auto"/>
              <w:ind w:right="0" w:rightChars="0"/>
              <w:jc w:val="center"/>
              <w:rPr>
                <w:rFonts w:ascii="宋体" w:hAnsi="宋体" w:eastAsia="宋体" w:cs="宋体"/>
                <w:sz w:val="24"/>
                <w:szCs w:val="24"/>
                <w:highlight w:val="none"/>
                <w:lang w:val="en-US" w:eastAsia="en-US" w:bidi="ar-SA"/>
              </w:rPr>
            </w:pPr>
            <w:r>
              <w:rPr>
                <w:rFonts w:ascii="宋体"/>
                <w:sz w:val="24"/>
                <w:highlight w:val="none"/>
              </w:rPr>
              <w:t>2.1</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102" w:leftChars="0" w:right="0" w:rightChars="0"/>
              <w:jc w:val="left"/>
              <w:rPr>
                <w:rFonts w:ascii="宋体" w:hAnsi="宋体" w:eastAsia="宋体" w:cs="宋体"/>
                <w:sz w:val="24"/>
                <w:szCs w:val="24"/>
                <w:highlight w:val="none"/>
                <w:lang w:val="en-US" w:eastAsia="en-US"/>
              </w:rPr>
            </w:pPr>
            <w:r>
              <w:rPr>
                <w:rFonts w:ascii="宋体" w:hAnsi="宋体" w:eastAsia="宋体" w:cs="宋体"/>
                <w:sz w:val="24"/>
                <w:szCs w:val="24"/>
                <w:highlight w:val="none"/>
              </w:rPr>
              <w:t>构成招标文件的其他材料</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57" w:line="240" w:lineRule="auto"/>
              <w:ind w:left="102" w:leftChars="0" w:right="0" w:rightChars="0"/>
              <w:jc w:val="left"/>
              <w:rPr>
                <w:rFonts w:hint="eastAsia" w:ascii="宋体" w:hAnsi="宋体" w:eastAsia="宋体" w:cs="宋体"/>
                <w:sz w:val="24"/>
                <w:szCs w:val="24"/>
                <w:highlight w:val="none"/>
                <w:lang w:val="en-US" w:eastAsia="en-US"/>
              </w:rPr>
            </w:pPr>
            <w:r>
              <w:rPr>
                <w:rFonts w:ascii="宋体" w:hAnsi="宋体" w:eastAsia="宋体" w:cs="宋体"/>
                <w:sz w:val="24"/>
                <w:szCs w:val="24"/>
                <w:highlight w:val="none"/>
              </w:rPr>
              <w:t>采购人或采购代理机构发出的补充文件和其他正式有效函件。</w:t>
            </w:r>
          </w:p>
        </w:tc>
      </w:tr>
      <w:tr>
        <w:tblPrEx>
          <w:tblCellMar>
            <w:top w:w="0" w:type="dxa"/>
            <w:left w:w="0" w:type="dxa"/>
            <w:bottom w:w="0" w:type="dxa"/>
            <w:right w:w="0" w:type="dxa"/>
          </w:tblCellMar>
        </w:tblPrEx>
        <w:trPr>
          <w:trHeight w:val="1377" w:hRule="exact"/>
        </w:trPr>
        <w:tc>
          <w:tcPr>
            <w:tcW w:w="1100" w:type="dxa"/>
            <w:tcBorders>
              <w:top w:val="single" w:color="000000" w:sz="4" w:space="0"/>
              <w:left w:val="single" w:color="000000" w:sz="4" w:space="0"/>
              <w:bottom w:val="single" w:color="000000" w:sz="4" w:space="0"/>
              <w:right w:val="single" w:color="000000" w:sz="4" w:space="0"/>
            </w:tcBorders>
            <w:vAlign w:val="center"/>
          </w:tcPr>
          <w:p>
            <w:pPr>
              <w:pStyle w:val="23"/>
              <w:spacing w:before="215" w:line="240" w:lineRule="auto"/>
              <w:ind w:left="245" w:leftChars="0" w:right="0" w:rightChars="0"/>
              <w:jc w:val="both"/>
              <w:rPr>
                <w:rFonts w:ascii="宋体" w:hAnsi="宋体" w:eastAsia="宋体" w:cs="宋体"/>
                <w:sz w:val="24"/>
                <w:szCs w:val="24"/>
                <w:highlight w:val="none"/>
                <w:lang w:val="en-US" w:eastAsia="en-US" w:bidi="ar-SA"/>
              </w:rPr>
            </w:pPr>
            <w:r>
              <w:rPr>
                <w:rFonts w:ascii="宋体"/>
                <w:sz w:val="24"/>
                <w:highlight w:val="none"/>
              </w:rPr>
              <w:t>2.2.1</w:t>
            </w:r>
          </w:p>
        </w:tc>
        <w:tc>
          <w:tcPr>
            <w:tcW w:w="2664" w:type="dxa"/>
            <w:tcBorders>
              <w:top w:val="single" w:color="000000" w:sz="4" w:space="0"/>
              <w:left w:val="single" w:color="000000" w:sz="4" w:space="0"/>
              <w:bottom w:val="single" w:color="000000" w:sz="4" w:space="0"/>
              <w:right w:val="single" w:color="000000" w:sz="4" w:space="0"/>
            </w:tcBorders>
            <w:vAlign w:val="center"/>
          </w:tcPr>
          <w:p>
            <w:pPr>
              <w:pStyle w:val="23"/>
              <w:spacing w:before="57" w:line="240" w:lineRule="auto"/>
              <w:ind w:left="102" w:leftChars="0" w:right="0" w:rightChars="0"/>
              <w:jc w:val="left"/>
              <w:rPr>
                <w:rFonts w:ascii="宋体" w:hAnsi="宋体" w:eastAsia="宋体" w:cs="宋体"/>
                <w:sz w:val="24"/>
                <w:szCs w:val="24"/>
                <w:highlight w:val="none"/>
                <w:lang w:val="en-US" w:eastAsia="en-US"/>
              </w:rPr>
            </w:pPr>
            <w:r>
              <w:rPr>
                <w:rFonts w:ascii="宋体" w:hAnsi="宋体" w:eastAsia="宋体" w:cs="宋体"/>
                <w:sz w:val="24"/>
                <w:szCs w:val="24"/>
                <w:highlight w:val="none"/>
              </w:rPr>
              <w:t>供应商要求澄清招标文 件的截止时间</w:t>
            </w:r>
          </w:p>
        </w:tc>
        <w:tc>
          <w:tcPr>
            <w:tcW w:w="6141" w:type="dxa"/>
            <w:tcBorders>
              <w:top w:val="single" w:color="000000" w:sz="4" w:space="0"/>
              <w:left w:val="single" w:color="000000" w:sz="4" w:space="0"/>
              <w:bottom w:val="single" w:color="000000" w:sz="4" w:space="0"/>
              <w:right w:val="single" w:color="000000" w:sz="4" w:space="0"/>
            </w:tcBorders>
            <w:vAlign w:val="center"/>
          </w:tcPr>
          <w:p>
            <w:pPr>
              <w:pStyle w:val="23"/>
              <w:spacing w:before="57" w:line="240" w:lineRule="auto"/>
              <w:ind w:left="102" w:leftChars="0" w:right="0" w:rightChars="0"/>
              <w:jc w:val="left"/>
              <w:rPr>
                <w:rFonts w:hint="eastAsia" w:ascii="宋体" w:hAnsi="宋体" w:eastAsia="宋体" w:cs="宋体"/>
                <w:sz w:val="24"/>
                <w:szCs w:val="24"/>
                <w:highlight w:val="none"/>
                <w:lang w:val="en-US" w:eastAsia="en-US"/>
              </w:rPr>
            </w:pPr>
            <w:r>
              <w:rPr>
                <w:rFonts w:hint="eastAsia" w:ascii="宋体" w:hAnsi="宋体" w:eastAsia="宋体" w:cs="宋体"/>
                <w:sz w:val="24"/>
                <w:szCs w:val="24"/>
                <w:highlight w:val="none"/>
                <w:lang w:eastAsia="zh-CN"/>
              </w:rPr>
              <w:t>供应商</w:t>
            </w:r>
            <w:r>
              <w:rPr>
                <w:rFonts w:ascii="宋体" w:hAnsi="宋体" w:eastAsia="宋体" w:cs="宋体"/>
                <w:sz w:val="24"/>
                <w:szCs w:val="24"/>
                <w:highlight w:val="none"/>
              </w:rPr>
              <w:t>应仔细阅读和检查招标文件的全部内容。如发现缺页或附件不全，应及时向</w:t>
            </w:r>
            <w:r>
              <w:rPr>
                <w:rFonts w:hint="eastAsia" w:ascii="宋体" w:hAnsi="宋体" w:eastAsia="宋体" w:cs="宋体"/>
                <w:sz w:val="24"/>
                <w:szCs w:val="24"/>
                <w:highlight w:val="none"/>
                <w:lang w:eastAsia="zh-CN"/>
              </w:rPr>
              <w:t>采购人</w:t>
            </w:r>
            <w:r>
              <w:rPr>
                <w:rFonts w:ascii="宋体" w:hAnsi="宋体" w:eastAsia="宋体" w:cs="宋体"/>
                <w:sz w:val="24"/>
                <w:szCs w:val="24"/>
                <w:highlight w:val="none"/>
              </w:rPr>
              <w:t>提出，以便补齐。</w:t>
            </w:r>
            <w:r>
              <w:rPr>
                <w:rFonts w:hint="eastAsia" w:ascii="宋体" w:hAnsi="宋体" w:eastAsia="宋体" w:cs="宋体"/>
                <w:sz w:val="24"/>
                <w:szCs w:val="24"/>
                <w:highlight w:val="none"/>
              </w:rPr>
              <w:t>如有疑问，</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应在投标截止时间1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日前向</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提出，要求</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对招标文件予以澄清。</w:t>
            </w:r>
          </w:p>
        </w:tc>
      </w:tr>
      <w:tr>
        <w:tblPrEx>
          <w:tblCellMar>
            <w:top w:w="0" w:type="dxa"/>
            <w:left w:w="0" w:type="dxa"/>
            <w:bottom w:w="0" w:type="dxa"/>
            <w:right w:w="0" w:type="dxa"/>
          </w:tblCellMar>
        </w:tblPrEx>
        <w:trPr>
          <w:trHeight w:val="2215" w:hRule="exact"/>
        </w:trPr>
        <w:tc>
          <w:tcPr>
            <w:tcW w:w="1100" w:type="dxa"/>
            <w:tcBorders>
              <w:top w:val="single" w:color="000000" w:sz="4" w:space="0"/>
              <w:left w:val="single" w:color="000000" w:sz="4" w:space="0"/>
              <w:bottom w:val="single" w:color="auto" w:sz="4" w:space="0"/>
              <w:right w:val="single" w:color="000000" w:sz="4" w:space="0"/>
            </w:tcBorders>
            <w:vAlign w:val="center"/>
          </w:tcPr>
          <w:p>
            <w:pPr>
              <w:pStyle w:val="23"/>
              <w:spacing w:before="215" w:line="240" w:lineRule="auto"/>
              <w:ind w:left="245" w:leftChars="0" w:right="0" w:rightChars="0"/>
              <w:jc w:val="both"/>
              <w:rPr>
                <w:rFonts w:hint="default" w:ascii="宋体" w:eastAsia="宋体"/>
                <w:sz w:val="24"/>
                <w:highlight w:val="none"/>
                <w:lang w:val="en-US" w:eastAsia="zh-CN"/>
              </w:rPr>
            </w:pPr>
            <w:r>
              <w:rPr>
                <w:rFonts w:hint="eastAsia" w:ascii="宋体" w:eastAsia="宋体"/>
                <w:sz w:val="24"/>
                <w:highlight w:val="none"/>
                <w:lang w:val="en-US" w:eastAsia="zh-CN"/>
              </w:rPr>
              <w:t>2.2.2</w:t>
            </w:r>
          </w:p>
        </w:tc>
        <w:tc>
          <w:tcPr>
            <w:tcW w:w="2664" w:type="dxa"/>
            <w:tcBorders>
              <w:top w:val="single" w:color="000000" w:sz="4" w:space="0"/>
              <w:left w:val="single" w:color="000000" w:sz="4" w:space="0"/>
              <w:bottom w:val="single" w:color="auto" w:sz="4" w:space="0"/>
              <w:right w:val="single" w:color="000000" w:sz="4" w:space="0"/>
            </w:tcBorders>
            <w:vAlign w:val="center"/>
          </w:tcPr>
          <w:p>
            <w:pPr>
              <w:pStyle w:val="23"/>
              <w:spacing w:before="57" w:line="240" w:lineRule="auto"/>
              <w:ind w:left="102" w:leftChars="0" w:right="0" w:rightChars="0"/>
              <w:jc w:val="left"/>
              <w:rPr>
                <w:rFonts w:ascii="宋体" w:hAnsi="宋体" w:eastAsia="宋体" w:cs="宋体"/>
                <w:sz w:val="24"/>
                <w:szCs w:val="24"/>
                <w:highlight w:val="none"/>
              </w:rPr>
            </w:pPr>
            <w:r>
              <w:rPr>
                <w:rFonts w:ascii="宋体" w:hAnsi="宋体" w:eastAsia="宋体" w:cs="宋体"/>
                <w:sz w:val="24"/>
                <w:szCs w:val="24"/>
                <w:highlight w:val="none"/>
              </w:rPr>
              <w:t>递交投标文件截止时间及地点</w:t>
            </w:r>
          </w:p>
        </w:tc>
        <w:tc>
          <w:tcPr>
            <w:tcW w:w="6141" w:type="dxa"/>
            <w:tcBorders>
              <w:top w:val="single" w:color="000000" w:sz="4" w:space="0"/>
              <w:left w:val="single" w:color="000000" w:sz="4" w:space="0"/>
              <w:bottom w:val="single" w:color="auto" w:sz="4" w:space="0"/>
              <w:right w:val="single" w:color="000000" w:sz="4" w:space="0"/>
            </w:tcBorders>
            <w:vAlign w:val="center"/>
          </w:tcPr>
          <w:p>
            <w:pPr>
              <w:pStyle w:val="23"/>
              <w:spacing w:before="57" w:line="240" w:lineRule="auto"/>
              <w:ind w:left="102" w:leftChars="0" w:right="0" w:rightChars="0"/>
              <w:jc w:val="left"/>
              <w:rPr>
                <w:rFonts w:ascii="宋体" w:hAnsi="宋体" w:eastAsia="宋体" w:cs="宋体"/>
                <w:sz w:val="24"/>
                <w:szCs w:val="24"/>
                <w:highlight w:val="none"/>
              </w:rPr>
            </w:pPr>
            <w:r>
              <w:rPr>
                <w:rFonts w:ascii="宋体" w:hAnsi="宋体" w:eastAsia="宋体" w:cs="宋体"/>
                <w:sz w:val="24"/>
                <w:szCs w:val="24"/>
                <w:highlight w:val="none"/>
              </w:rPr>
              <w:t>截止时间：</w:t>
            </w:r>
            <w:r>
              <w:rPr>
                <w:rFonts w:ascii="宋体" w:hAnsi="宋体" w:eastAsia="宋体" w:cs="宋体"/>
                <w:color w:val="auto"/>
                <w:sz w:val="24"/>
                <w:szCs w:val="24"/>
                <w:highlight w:val="none"/>
              </w:rPr>
              <w:t>2021年</w:t>
            </w:r>
            <w:r>
              <w:rPr>
                <w:rFonts w:hint="eastAsia" w:ascii="宋体" w:hAnsi="宋体" w:eastAsia="宋体" w:cs="宋体"/>
                <w:color w:val="auto"/>
                <w:sz w:val="24"/>
                <w:szCs w:val="24"/>
                <w:highlight w:val="none"/>
                <w:lang w:val="en-US" w:eastAsia="zh-CN"/>
              </w:rPr>
              <w:t>8</w:t>
            </w:r>
            <w:r>
              <w:rPr>
                <w:rFonts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17</w:t>
            </w:r>
            <w:r>
              <w:rPr>
                <w:rFonts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10 </w:t>
            </w:r>
            <w:r>
              <w:rPr>
                <w:rFonts w:ascii="宋体" w:hAnsi="宋体" w:eastAsia="宋体" w:cs="宋体"/>
                <w:color w:val="auto"/>
                <w:sz w:val="24"/>
                <w:szCs w:val="24"/>
                <w:highlight w:val="none"/>
              </w:rPr>
              <w:t>点00分（</w:t>
            </w:r>
            <w:r>
              <w:rPr>
                <w:rFonts w:ascii="宋体" w:hAnsi="宋体" w:eastAsia="宋体" w:cs="宋体"/>
                <w:sz w:val="24"/>
                <w:szCs w:val="24"/>
                <w:highlight w:val="none"/>
              </w:rPr>
              <w:t>北京时间）</w:t>
            </w:r>
          </w:p>
          <w:p>
            <w:pPr>
              <w:pStyle w:val="23"/>
              <w:spacing w:before="57" w:line="240" w:lineRule="auto"/>
              <w:ind w:left="102" w:leftChars="0" w:right="0" w:rightChars="0"/>
              <w:jc w:val="left"/>
              <w:rPr>
                <w:rFonts w:ascii="宋体" w:hAnsi="宋体" w:eastAsia="宋体" w:cs="宋体"/>
                <w:sz w:val="24"/>
                <w:szCs w:val="24"/>
                <w:highlight w:val="none"/>
              </w:rPr>
            </w:pPr>
            <w:r>
              <w:rPr>
                <w:rFonts w:ascii="宋体" w:hAnsi="宋体" w:eastAsia="宋体" w:cs="宋体"/>
                <w:sz w:val="24"/>
                <w:szCs w:val="24"/>
                <w:highlight w:val="none"/>
              </w:rPr>
              <w:t>地点：中牟县公共资源交易中心门户网站远程开标大厅</w:t>
            </w:r>
          </w:p>
          <w:p>
            <w:pPr>
              <w:pStyle w:val="23"/>
              <w:spacing w:before="57" w:line="240" w:lineRule="auto"/>
              <w:ind w:left="102" w:leftChars="0" w:right="0" w:rightChars="0"/>
              <w:jc w:val="left"/>
              <w:rPr>
                <w:rFonts w:ascii="宋体" w:hAnsi="宋体" w:eastAsia="宋体" w:cs="宋体"/>
                <w:sz w:val="24"/>
                <w:szCs w:val="24"/>
                <w:highlight w:val="none"/>
              </w:rPr>
            </w:pPr>
            <w:r>
              <w:rPr>
                <w:rFonts w:ascii="宋体" w:hAnsi="宋体" w:eastAsia="宋体" w:cs="宋体"/>
                <w:sz w:val="24"/>
                <w:szCs w:val="24"/>
                <w:highlight w:val="none"/>
              </w:rPr>
              <w:fldChar w:fldCharType="begin"/>
            </w:r>
            <w:r>
              <w:rPr>
                <w:rFonts w:ascii="宋体" w:hAnsi="宋体" w:eastAsia="宋体" w:cs="宋体"/>
                <w:sz w:val="24"/>
                <w:szCs w:val="24"/>
                <w:highlight w:val="none"/>
              </w:rPr>
              <w:instrText xml:space="preserve"> HYPERLINK "http://www.zmxggzy.com/BidOpening" \h </w:instrText>
            </w:r>
            <w:r>
              <w:rPr>
                <w:rFonts w:ascii="宋体" w:hAnsi="宋体" w:eastAsia="宋体" w:cs="宋体"/>
                <w:sz w:val="24"/>
                <w:szCs w:val="24"/>
                <w:highlight w:val="none"/>
              </w:rPr>
              <w:fldChar w:fldCharType="separate"/>
            </w:r>
            <w:r>
              <w:rPr>
                <w:rFonts w:ascii="宋体" w:hAnsi="宋体" w:eastAsia="宋体" w:cs="宋体"/>
                <w:sz w:val="24"/>
                <w:szCs w:val="24"/>
                <w:highlight w:val="none"/>
              </w:rPr>
              <w:t>（网址：http://www.zmxggzy.com/BidOpening</w:t>
            </w:r>
            <w:r>
              <w:rPr>
                <w:rFonts w:ascii="宋体" w:hAnsi="宋体" w:eastAsia="宋体" w:cs="宋体"/>
                <w:sz w:val="24"/>
                <w:szCs w:val="24"/>
                <w:highlight w:val="none"/>
              </w:rPr>
              <w:fldChar w:fldCharType="end"/>
            </w:r>
            <w:r>
              <w:rPr>
                <w:rFonts w:ascii="宋体" w:hAnsi="宋体" w:eastAsia="宋体" w:cs="宋体"/>
                <w:sz w:val="24"/>
                <w:szCs w:val="24"/>
                <w:highlight w:val="none"/>
              </w:rPr>
              <w:t>）</w:t>
            </w:r>
          </w:p>
        </w:tc>
      </w:tr>
      <w:tr>
        <w:tblPrEx>
          <w:tblCellMar>
            <w:top w:w="0" w:type="dxa"/>
            <w:left w:w="0" w:type="dxa"/>
            <w:bottom w:w="0" w:type="dxa"/>
            <w:right w:w="0" w:type="dxa"/>
          </w:tblCellMar>
        </w:tblPrEx>
        <w:trPr>
          <w:trHeight w:val="1312" w:hRule="exact"/>
        </w:trPr>
        <w:tc>
          <w:tcPr>
            <w:tcW w:w="110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right="0" w:firstLine="240" w:firstLineChars="100"/>
              <w:jc w:val="both"/>
              <w:rPr>
                <w:rFonts w:ascii="宋体" w:hAnsi="宋体" w:eastAsia="宋体" w:cs="宋体"/>
                <w:sz w:val="24"/>
                <w:szCs w:val="24"/>
                <w:highlight w:val="none"/>
              </w:rPr>
            </w:pPr>
            <w:r>
              <w:rPr>
                <w:rFonts w:ascii="宋体"/>
                <w:sz w:val="24"/>
                <w:highlight w:val="none"/>
              </w:rPr>
              <w:t>2.2.3</w:t>
            </w:r>
          </w:p>
        </w:tc>
        <w:tc>
          <w:tcPr>
            <w:tcW w:w="2664" w:type="dxa"/>
            <w:tcBorders>
              <w:top w:val="single" w:color="auto" w:sz="4" w:space="0"/>
              <w:left w:val="single" w:color="auto" w:sz="4" w:space="0"/>
              <w:bottom w:val="single" w:color="auto" w:sz="4" w:space="0"/>
              <w:right w:val="single" w:color="auto" w:sz="4" w:space="0"/>
            </w:tcBorders>
            <w:vAlign w:val="center"/>
          </w:tcPr>
          <w:p>
            <w:pPr>
              <w:pStyle w:val="23"/>
              <w:spacing w:before="57" w:line="240" w:lineRule="auto"/>
              <w:ind w:left="102" w:leftChars="0" w:right="0" w:rightChars="0"/>
              <w:jc w:val="left"/>
              <w:rPr>
                <w:rFonts w:ascii="宋体" w:hAnsi="宋体" w:eastAsia="宋体" w:cs="宋体"/>
                <w:sz w:val="24"/>
                <w:szCs w:val="24"/>
                <w:highlight w:val="none"/>
              </w:rPr>
            </w:pPr>
            <w:r>
              <w:rPr>
                <w:rFonts w:ascii="宋体" w:hAnsi="宋体" w:eastAsia="宋体" w:cs="宋体"/>
                <w:sz w:val="24"/>
                <w:szCs w:val="24"/>
                <w:highlight w:val="none"/>
              </w:rPr>
              <w:t>供应商确认收到招标文件澄清的时间</w:t>
            </w:r>
          </w:p>
        </w:tc>
        <w:tc>
          <w:tcPr>
            <w:tcW w:w="6141" w:type="dxa"/>
            <w:tcBorders>
              <w:top w:val="single" w:color="auto" w:sz="4" w:space="0"/>
              <w:left w:val="single" w:color="auto" w:sz="4" w:space="0"/>
              <w:bottom w:val="single" w:color="auto" w:sz="4" w:space="0"/>
              <w:right w:val="single" w:color="auto" w:sz="4" w:space="0"/>
            </w:tcBorders>
            <w:vAlign w:val="center"/>
          </w:tcPr>
          <w:p>
            <w:pPr>
              <w:pStyle w:val="23"/>
              <w:spacing w:before="57" w:line="240" w:lineRule="auto"/>
              <w:ind w:left="102" w:leftChars="0" w:right="0" w:rightChars="0"/>
              <w:jc w:val="left"/>
              <w:rPr>
                <w:rFonts w:ascii="宋体" w:hAnsi="宋体" w:eastAsia="宋体" w:cs="宋体"/>
                <w:sz w:val="24"/>
                <w:szCs w:val="24"/>
                <w:highlight w:val="none"/>
              </w:rPr>
            </w:pPr>
            <w:r>
              <w:rPr>
                <w:rFonts w:hint="eastAsia" w:ascii="宋体" w:hAnsi="宋体" w:eastAsia="宋体" w:cs="宋体"/>
                <w:sz w:val="24"/>
                <w:szCs w:val="24"/>
                <w:highlight w:val="none"/>
                <w:lang w:eastAsia="zh-CN"/>
              </w:rPr>
              <w:t>采购人在交易中心网站</w:t>
            </w:r>
            <w:r>
              <w:rPr>
                <w:rFonts w:hint="eastAsia" w:ascii="宋体" w:hAnsi="宋体" w:eastAsia="宋体" w:cs="宋体"/>
                <w:sz w:val="24"/>
                <w:szCs w:val="24"/>
                <w:highlight w:val="none"/>
              </w:rPr>
              <w:t>发布后，各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自行下载，因</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未看到或其他原因造成的损失，由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自行负责</w:t>
            </w:r>
          </w:p>
        </w:tc>
      </w:tr>
      <w:tr>
        <w:tblPrEx>
          <w:tblCellMar>
            <w:top w:w="0" w:type="dxa"/>
            <w:left w:w="0" w:type="dxa"/>
            <w:bottom w:w="0" w:type="dxa"/>
            <w:right w:w="0" w:type="dxa"/>
          </w:tblCellMar>
        </w:tblPrEx>
        <w:trPr>
          <w:trHeight w:val="2791" w:hRule="exact"/>
        </w:trPr>
        <w:tc>
          <w:tcPr>
            <w:tcW w:w="1100" w:type="dxa"/>
            <w:tcBorders>
              <w:top w:val="single" w:color="auto" w:sz="4" w:space="0"/>
              <w:left w:val="single" w:color="000000" w:sz="4" w:space="0"/>
              <w:bottom w:val="single" w:color="000000" w:sz="4" w:space="0"/>
              <w:right w:val="single" w:color="000000" w:sz="4" w:space="0"/>
            </w:tcBorders>
            <w:vAlign w:val="center"/>
          </w:tcPr>
          <w:p>
            <w:pPr>
              <w:adjustRightInd w:val="0"/>
              <w:spacing w:line="276" w:lineRule="auto"/>
              <w:jc w:val="center"/>
              <w:textAlignment w:val="baseline"/>
              <w:rPr>
                <w:rFonts w:asciiTheme="minorHAnsi" w:hAnsiTheme="minorHAnsi" w:eastAsiaTheme="minorHAnsi" w:cstheme="minorBidi"/>
                <w:sz w:val="22"/>
                <w:szCs w:val="21"/>
                <w:highlight w:val="none"/>
                <w:lang w:val="en-US" w:eastAsia="en-US" w:bidi="ar-SA"/>
              </w:rPr>
            </w:pPr>
            <w:r>
              <w:rPr>
                <w:rFonts w:hint="eastAsia"/>
                <w:szCs w:val="21"/>
                <w:highlight w:val="none"/>
              </w:rPr>
              <w:t>2.3.1</w:t>
            </w:r>
          </w:p>
        </w:tc>
        <w:tc>
          <w:tcPr>
            <w:tcW w:w="266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招标文件的修改</w:t>
            </w:r>
          </w:p>
        </w:tc>
        <w:tc>
          <w:tcPr>
            <w:tcW w:w="6141" w:type="dxa"/>
            <w:tcBorders>
              <w:top w:val="single" w:color="auto"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可以对已发出的招标文件进行必要的修改。修改的内容可能影响投标文件编制的，</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应当在投标截止时间至少</w:t>
            </w:r>
            <w:r>
              <w:rPr>
                <w:rFonts w:ascii="宋体" w:hAnsi="宋体" w:eastAsia="宋体" w:cs="宋体"/>
                <w:sz w:val="24"/>
                <w:szCs w:val="24"/>
                <w:highlight w:val="none"/>
                <w:lang w:val="en-US" w:eastAsia="en-US" w:bidi="ar-SA"/>
              </w:rPr>
              <w:t>15</w:t>
            </w:r>
            <w:r>
              <w:rPr>
                <w:rFonts w:hint="eastAsia" w:ascii="宋体" w:hAnsi="宋体" w:eastAsia="宋体" w:cs="宋体"/>
                <w:sz w:val="24"/>
                <w:szCs w:val="24"/>
                <w:highlight w:val="none"/>
                <w:lang w:val="en-US" w:eastAsia="en-US" w:bidi="ar-SA"/>
              </w:rPr>
              <w:t>日前，在相关网站发布，</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自行下载。不足</w:t>
            </w:r>
            <w:r>
              <w:rPr>
                <w:rFonts w:ascii="宋体" w:hAnsi="宋体" w:eastAsia="宋体" w:cs="宋体"/>
                <w:sz w:val="24"/>
                <w:szCs w:val="24"/>
                <w:highlight w:val="none"/>
                <w:lang w:val="en-US" w:eastAsia="en-US" w:bidi="ar-SA"/>
              </w:rPr>
              <w:t>15</w:t>
            </w:r>
            <w:r>
              <w:rPr>
                <w:rFonts w:hint="eastAsia" w:ascii="宋体" w:hAnsi="宋体" w:eastAsia="宋体" w:cs="宋体"/>
                <w:sz w:val="24"/>
                <w:szCs w:val="24"/>
                <w:highlight w:val="none"/>
                <w:lang w:val="en-US" w:eastAsia="en-US" w:bidi="ar-SA"/>
              </w:rPr>
              <w:t>日的，</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应当顺延提交投标文件的截止时间。</w:t>
            </w:r>
          </w:p>
          <w:p>
            <w:pPr>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应在投标截止时间前每日关注“中牟县公共资源交易平台（</w:t>
            </w:r>
            <w:r>
              <w:rPr>
                <w:rFonts w:ascii="宋体" w:hAnsi="宋体" w:eastAsia="宋体" w:cs="宋体"/>
                <w:sz w:val="24"/>
                <w:szCs w:val="24"/>
                <w:highlight w:val="none"/>
                <w:lang w:val="en-US" w:eastAsia="en-US" w:bidi="ar-SA"/>
              </w:rPr>
              <w:t>www.zmxggzy</w:t>
            </w:r>
            <w:r>
              <w:rPr>
                <w:rFonts w:hint="eastAsia" w:ascii="宋体" w:hAnsi="宋体" w:eastAsia="宋体" w:cs="宋体"/>
                <w:sz w:val="24"/>
                <w:szCs w:val="24"/>
                <w:highlight w:val="none"/>
                <w:lang w:val="en-US" w:eastAsia="en-US" w:bidi="ar-SA"/>
              </w:rPr>
              <w:t>.com）”是否刊登本项目招标文件澄清、修改文件，并自行下载，如由于</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未看到澄清文件而带来的风险，</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和招标代理机构不承担任何</w:t>
            </w:r>
            <w:r>
              <w:rPr>
                <w:rFonts w:hint="eastAsia" w:ascii="宋体" w:hAnsi="宋体" w:eastAsia="宋体" w:cs="宋体"/>
                <w:sz w:val="24"/>
                <w:szCs w:val="24"/>
                <w:highlight w:val="none"/>
                <w:lang w:val="en-US" w:eastAsia="zh-CN" w:bidi="ar-SA"/>
              </w:rPr>
              <w:t>责</w:t>
            </w:r>
            <w:r>
              <w:rPr>
                <w:rFonts w:hint="eastAsia" w:ascii="宋体" w:hAnsi="宋体" w:eastAsia="宋体" w:cs="宋体"/>
                <w:sz w:val="24"/>
                <w:szCs w:val="24"/>
                <w:highlight w:val="none"/>
                <w:lang w:val="en-US" w:eastAsia="en-US" w:bidi="ar-SA"/>
              </w:rPr>
              <w:t>任。</w:t>
            </w:r>
          </w:p>
        </w:tc>
      </w:tr>
      <w:tr>
        <w:tblPrEx>
          <w:tblCellMar>
            <w:top w:w="0" w:type="dxa"/>
            <w:left w:w="0" w:type="dxa"/>
            <w:bottom w:w="0" w:type="dxa"/>
            <w:right w:w="0" w:type="dxa"/>
          </w:tblCellMar>
        </w:tblPrEx>
        <w:trPr>
          <w:trHeight w:val="1140" w:hRule="exact"/>
        </w:trPr>
        <w:tc>
          <w:tcPr>
            <w:tcW w:w="1100" w:type="dxa"/>
            <w:tcBorders>
              <w:top w:val="single" w:color="000000" w:sz="4" w:space="0"/>
              <w:left w:val="single" w:color="000000" w:sz="4" w:space="0"/>
              <w:right w:val="single" w:color="000000" w:sz="4" w:space="0"/>
            </w:tcBorders>
          </w:tcPr>
          <w:p>
            <w:pPr>
              <w:pStyle w:val="23"/>
              <w:spacing w:line="240" w:lineRule="auto"/>
              <w:ind w:left="245" w:right="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2.3.2</w:t>
            </w:r>
          </w:p>
        </w:tc>
        <w:tc>
          <w:tcPr>
            <w:tcW w:w="2664" w:type="dxa"/>
            <w:tcBorders>
              <w:top w:val="single" w:color="000000" w:sz="4" w:space="0"/>
              <w:left w:val="single" w:color="000000" w:sz="4" w:space="0"/>
              <w:right w:val="single" w:color="000000" w:sz="4" w:space="0"/>
            </w:tcBorders>
            <w:vAlign w:val="center"/>
          </w:tcPr>
          <w:p>
            <w:pPr>
              <w:jc w:val="center"/>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zh-CN" w:bidi="ar-SA"/>
              </w:rPr>
              <w:t>供应商</w:t>
            </w:r>
            <w:r>
              <w:rPr>
                <w:rFonts w:ascii="宋体" w:hAnsi="宋体" w:eastAsia="宋体" w:cs="宋体"/>
                <w:sz w:val="24"/>
                <w:szCs w:val="24"/>
                <w:highlight w:val="none"/>
                <w:lang w:val="en-US" w:eastAsia="en-US" w:bidi="ar-SA"/>
              </w:rPr>
              <w:t>确认收到招标文件修改的时间</w:t>
            </w:r>
          </w:p>
        </w:tc>
        <w:tc>
          <w:tcPr>
            <w:tcW w:w="6141" w:type="dxa"/>
            <w:tcBorders>
              <w:top w:val="single" w:color="000000" w:sz="4" w:space="0"/>
              <w:left w:val="single" w:color="000000" w:sz="4" w:space="0"/>
              <w:bottom w:val="nil"/>
              <w:right w:val="single" w:color="000000" w:sz="4" w:space="0"/>
            </w:tcBorders>
            <w:vAlign w:val="center"/>
          </w:tcPr>
          <w:p>
            <w:pPr>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zh-CN" w:bidi="ar-SA"/>
              </w:rPr>
              <w:t>采购人在交易中心网站</w:t>
            </w:r>
            <w:r>
              <w:rPr>
                <w:rFonts w:hint="eastAsia" w:ascii="宋体" w:hAnsi="宋体" w:eastAsia="宋体" w:cs="宋体"/>
                <w:sz w:val="24"/>
                <w:szCs w:val="24"/>
                <w:highlight w:val="none"/>
                <w:lang w:val="en-US" w:eastAsia="en-US" w:bidi="ar-SA"/>
              </w:rPr>
              <w:t>发布后，各</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自行下载，因</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未看到或其他原因造成的损失，由</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自行负责</w:t>
            </w:r>
          </w:p>
        </w:tc>
      </w:tr>
      <w:tr>
        <w:tblPrEx>
          <w:tblCellMar>
            <w:top w:w="0" w:type="dxa"/>
            <w:left w:w="0" w:type="dxa"/>
            <w:bottom w:w="0" w:type="dxa"/>
            <w:right w:w="0" w:type="dxa"/>
          </w:tblCellMar>
        </w:tblPrEx>
        <w:trPr>
          <w:trHeight w:val="77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15" w:line="240" w:lineRule="auto"/>
              <w:ind w:left="245" w:right="0"/>
              <w:jc w:val="left"/>
              <w:rPr>
                <w:rFonts w:ascii="宋体" w:hAnsi="宋体" w:eastAsia="宋体" w:cs="宋体"/>
                <w:sz w:val="24"/>
                <w:szCs w:val="24"/>
                <w:highlight w:val="none"/>
              </w:rPr>
            </w:pPr>
            <w:r>
              <w:rPr>
                <w:rFonts w:ascii="宋体"/>
                <w:sz w:val="24"/>
                <w:highlight w:val="none"/>
              </w:rPr>
              <w:t>3.1.1</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构成投标文件的其他材 料</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认为需要提交的其他材料</w:t>
            </w:r>
          </w:p>
        </w:tc>
      </w:tr>
      <w:tr>
        <w:tblPrEx>
          <w:tblCellMar>
            <w:top w:w="0" w:type="dxa"/>
            <w:left w:w="0" w:type="dxa"/>
            <w:bottom w:w="0" w:type="dxa"/>
            <w:right w:w="0" w:type="dxa"/>
          </w:tblCellMar>
        </w:tblPrEx>
        <w:trPr>
          <w:trHeight w:val="39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6" w:line="240" w:lineRule="auto"/>
              <w:ind w:left="245" w:right="0"/>
              <w:jc w:val="left"/>
              <w:rPr>
                <w:rFonts w:ascii="宋体" w:hAnsi="宋体" w:eastAsia="宋体" w:cs="宋体"/>
                <w:sz w:val="24"/>
                <w:szCs w:val="24"/>
                <w:highlight w:val="none"/>
              </w:rPr>
            </w:pPr>
            <w:r>
              <w:rPr>
                <w:rFonts w:ascii="宋体"/>
                <w:sz w:val="24"/>
                <w:highlight w:val="none"/>
              </w:rPr>
              <w:t>3.3.1</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投标有效期</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60日历天</w:t>
            </w:r>
            <w:r>
              <w:rPr>
                <w:rFonts w:ascii="宋体" w:hAnsi="宋体" w:eastAsia="宋体" w:cs="宋体"/>
                <w:sz w:val="24"/>
                <w:szCs w:val="24"/>
                <w:highlight w:val="none"/>
                <w:lang w:val="en-US" w:eastAsia="en-US" w:bidi="ar-SA"/>
              </w:rPr>
              <w:t>（自投标截止时间之日起）</w:t>
            </w:r>
          </w:p>
        </w:tc>
      </w:tr>
      <w:tr>
        <w:tblPrEx>
          <w:tblCellMar>
            <w:top w:w="0" w:type="dxa"/>
            <w:left w:w="0" w:type="dxa"/>
            <w:bottom w:w="0" w:type="dxa"/>
            <w:right w:w="0" w:type="dxa"/>
          </w:tblCellMar>
        </w:tblPrEx>
        <w:trPr>
          <w:trHeight w:val="39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4" w:line="240" w:lineRule="auto"/>
              <w:ind w:left="245" w:right="0"/>
              <w:jc w:val="left"/>
              <w:rPr>
                <w:rFonts w:ascii="宋体" w:hAnsi="宋体" w:eastAsia="宋体" w:cs="宋体"/>
                <w:sz w:val="24"/>
                <w:szCs w:val="24"/>
                <w:highlight w:val="none"/>
              </w:rPr>
            </w:pPr>
            <w:r>
              <w:rPr>
                <w:rFonts w:ascii="宋体"/>
                <w:sz w:val="24"/>
                <w:highlight w:val="none"/>
              </w:rPr>
              <w:t>3.4.1</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投标保证金</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w:t>
            </w:r>
          </w:p>
        </w:tc>
      </w:tr>
      <w:tr>
        <w:tblPrEx>
          <w:tblCellMar>
            <w:top w:w="0" w:type="dxa"/>
            <w:left w:w="0" w:type="dxa"/>
            <w:bottom w:w="0" w:type="dxa"/>
            <w:right w:w="0" w:type="dxa"/>
          </w:tblCellMar>
        </w:tblPrEx>
        <w:trPr>
          <w:trHeight w:val="39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6" w:line="240" w:lineRule="auto"/>
              <w:ind w:left="245" w:right="0"/>
              <w:jc w:val="left"/>
              <w:rPr>
                <w:rFonts w:ascii="宋体" w:hAnsi="宋体" w:eastAsia="宋体" w:cs="宋体"/>
                <w:sz w:val="24"/>
                <w:szCs w:val="24"/>
                <w:highlight w:val="none"/>
              </w:rPr>
            </w:pPr>
            <w:r>
              <w:rPr>
                <w:rFonts w:ascii="宋体"/>
                <w:sz w:val="24"/>
                <w:highlight w:val="none"/>
              </w:rPr>
              <w:t>3.4.3</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投标保证金退还须知</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w:t>
            </w:r>
          </w:p>
        </w:tc>
      </w:tr>
      <w:tr>
        <w:tblPrEx>
          <w:tblCellMar>
            <w:top w:w="0" w:type="dxa"/>
            <w:left w:w="0" w:type="dxa"/>
            <w:bottom w:w="0" w:type="dxa"/>
            <w:right w:w="0" w:type="dxa"/>
          </w:tblCellMar>
        </w:tblPrEx>
        <w:trPr>
          <w:trHeight w:val="39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4" w:line="240" w:lineRule="auto"/>
              <w:ind w:left="245" w:right="0"/>
              <w:jc w:val="left"/>
              <w:rPr>
                <w:rFonts w:ascii="宋体" w:hAnsi="宋体" w:eastAsia="宋体" w:cs="宋体"/>
                <w:sz w:val="24"/>
                <w:szCs w:val="24"/>
                <w:highlight w:val="none"/>
              </w:rPr>
            </w:pPr>
            <w:r>
              <w:rPr>
                <w:rFonts w:ascii="宋体"/>
                <w:sz w:val="24"/>
                <w:highlight w:val="none"/>
              </w:rPr>
              <w:t>3.5.2</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财务状况的年份要求</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20</w:t>
            </w:r>
            <w:r>
              <w:rPr>
                <w:rFonts w:hint="eastAsia" w:ascii="宋体" w:hAnsi="宋体" w:eastAsia="宋体" w:cs="宋体"/>
                <w:sz w:val="24"/>
                <w:szCs w:val="24"/>
                <w:highlight w:val="none"/>
                <w:lang w:val="en-US" w:eastAsia="zh-CN" w:bidi="ar-SA"/>
              </w:rPr>
              <w:t>20</w:t>
            </w:r>
            <w:r>
              <w:rPr>
                <w:rFonts w:ascii="宋体" w:hAnsi="宋体" w:eastAsia="宋体" w:cs="宋体"/>
                <w:sz w:val="24"/>
                <w:szCs w:val="24"/>
                <w:highlight w:val="none"/>
                <w:lang w:val="en-US" w:eastAsia="en-US" w:bidi="ar-SA"/>
              </w:rPr>
              <w:t>年财务审计报告或基本账户银行开具的资信证明</w:t>
            </w:r>
          </w:p>
        </w:tc>
      </w:tr>
      <w:tr>
        <w:tblPrEx>
          <w:tblCellMar>
            <w:top w:w="0" w:type="dxa"/>
            <w:left w:w="0" w:type="dxa"/>
            <w:bottom w:w="0" w:type="dxa"/>
            <w:right w:w="0" w:type="dxa"/>
          </w:tblCellMar>
        </w:tblPrEx>
        <w:trPr>
          <w:trHeight w:val="77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before="215" w:line="240" w:lineRule="auto"/>
              <w:ind w:right="0"/>
              <w:jc w:val="center"/>
              <w:rPr>
                <w:rFonts w:ascii="宋体" w:hAnsi="宋体" w:eastAsia="宋体" w:cs="宋体"/>
                <w:sz w:val="24"/>
                <w:szCs w:val="24"/>
                <w:highlight w:val="none"/>
              </w:rPr>
            </w:pPr>
            <w:r>
              <w:rPr>
                <w:rFonts w:ascii="宋体"/>
                <w:sz w:val="24"/>
                <w:highlight w:val="none"/>
              </w:rPr>
              <w:t>3.6</w:t>
            </w:r>
          </w:p>
        </w:tc>
        <w:tc>
          <w:tcPr>
            <w:tcW w:w="2664"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是否允许递交备选投标 方案</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57"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不允许</w:t>
            </w:r>
          </w:p>
        </w:tc>
      </w:tr>
      <w:tr>
        <w:tblPrEx>
          <w:tblCellMar>
            <w:top w:w="0" w:type="dxa"/>
            <w:left w:w="0" w:type="dxa"/>
            <w:bottom w:w="0" w:type="dxa"/>
            <w:right w:w="0" w:type="dxa"/>
          </w:tblCellMar>
        </w:tblPrEx>
        <w:trPr>
          <w:trHeight w:val="3050"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before="11" w:line="240" w:lineRule="auto"/>
              <w:ind w:right="0"/>
              <w:jc w:val="left"/>
              <w:rPr>
                <w:rFonts w:ascii="Times New Roman" w:hAnsi="Times New Roman" w:eastAsia="Times New Roman" w:cs="Times New Roman"/>
                <w:sz w:val="21"/>
                <w:szCs w:val="21"/>
                <w:highlight w:val="none"/>
              </w:rPr>
            </w:pPr>
          </w:p>
          <w:p>
            <w:pPr>
              <w:pStyle w:val="23"/>
              <w:spacing w:line="240" w:lineRule="auto"/>
              <w:ind w:left="245" w:right="0"/>
              <w:jc w:val="left"/>
              <w:rPr>
                <w:rFonts w:ascii="宋体" w:hAnsi="宋体" w:eastAsia="宋体" w:cs="宋体"/>
                <w:sz w:val="24"/>
                <w:szCs w:val="24"/>
                <w:highlight w:val="none"/>
              </w:rPr>
            </w:pPr>
            <w:r>
              <w:rPr>
                <w:rFonts w:ascii="宋体"/>
                <w:sz w:val="24"/>
                <w:highlight w:val="none"/>
              </w:rPr>
              <w:t>3.7.3</w:t>
            </w:r>
          </w:p>
        </w:tc>
        <w:tc>
          <w:tcPr>
            <w:tcW w:w="2664"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before="11" w:line="240" w:lineRule="auto"/>
              <w:ind w:right="0"/>
              <w:jc w:val="left"/>
              <w:rPr>
                <w:rFonts w:ascii="Times New Roman" w:hAnsi="Times New Roman" w:eastAsia="Times New Roman" w:cs="Times New Roman"/>
                <w:sz w:val="21"/>
                <w:szCs w:val="21"/>
                <w:highlight w:val="none"/>
              </w:rPr>
            </w:pPr>
          </w:p>
          <w:p>
            <w:pPr>
              <w:pStyle w:val="23"/>
              <w:spacing w:line="240" w:lineRule="auto"/>
              <w:ind w:left="486" w:right="0"/>
              <w:jc w:val="left"/>
              <w:rPr>
                <w:rFonts w:ascii="宋体" w:hAnsi="宋体" w:eastAsia="宋体" w:cs="宋体"/>
                <w:sz w:val="24"/>
                <w:szCs w:val="24"/>
                <w:highlight w:val="none"/>
              </w:rPr>
            </w:pPr>
            <w:r>
              <w:rPr>
                <w:rFonts w:ascii="宋体" w:hAnsi="宋体" w:eastAsia="宋体" w:cs="宋体"/>
                <w:sz w:val="24"/>
                <w:szCs w:val="24"/>
                <w:highlight w:val="none"/>
              </w:rPr>
              <w:t>签字或盖章要求</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24" w:line="240" w:lineRule="auto"/>
              <w:ind w:left="102" w:right="0"/>
              <w:jc w:val="both"/>
              <w:rPr>
                <w:rFonts w:ascii="宋体" w:hAnsi="宋体" w:eastAsia="宋体" w:cs="宋体"/>
                <w:sz w:val="24"/>
                <w:szCs w:val="24"/>
                <w:highlight w:val="none"/>
              </w:rPr>
            </w:pPr>
            <w:r>
              <w:rPr>
                <w:rFonts w:ascii="宋体" w:hAnsi="宋体" w:eastAsia="宋体" w:cs="宋体"/>
                <w:sz w:val="24"/>
                <w:szCs w:val="24"/>
                <w:highlight w:val="none"/>
              </w:rPr>
              <w:t>（1）以经过加密的电子投标文件上传件为准；</w:t>
            </w:r>
          </w:p>
          <w:p>
            <w:pPr>
              <w:pStyle w:val="23"/>
              <w:spacing w:before="67" w:line="290" w:lineRule="auto"/>
              <w:ind w:left="102" w:right="101"/>
              <w:jc w:val="both"/>
              <w:rPr>
                <w:rFonts w:hint="eastAsia" w:ascii="宋体" w:hAnsi="宋体" w:eastAsia="宋体" w:cs="宋体"/>
                <w:sz w:val="24"/>
                <w:szCs w:val="24"/>
                <w:highlight w:val="none"/>
                <w:lang w:eastAsia="zh-CN"/>
              </w:rPr>
            </w:pPr>
            <w:r>
              <w:rPr>
                <w:rFonts w:ascii="宋体" w:hAnsi="宋体" w:eastAsia="宋体" w:cs="宋体"/>
                <w:sz w:val="24"/>
                <w:szCs w:val="24"/>
                <w:highlight w:val="none"/>
              </w:rPr>
              <w:t>（2）</w:t>
            </w:r>
            <w:r>
              <w:rPr>
                <w:rFonts w:hint="eastAsia" w:ascii="宋体" w:hAnsi="宋体" w:eastAsia="宋体" w:cs="宋体"/>
                <w:sz w:val="24"/>
                <w:szCs w:val="24"/>
                <w:highlight w:val="none"/>
              </w:rPr>
              <w:t>所有要求供应商加盖公章的地方都应用供应商单位的 CA 印章</w:t>
            </w:r>
            <w:r>
              <w:rPr>
                <w:rFonts w:hint="eastAsia" w:ascii="宋体" w:hAnsi="宋体" w:eastAsia="宋体" w:cs="宋体"/>
                <w:sz w:val="24"/>
                <w:szCs w:val="24"/>
                <w:highlight w:val="none"/>
                <w:lang w:eastAsia="zh-CN"/>
              </w:rPr>
              <w:t>；</w:t>
            </w:r>
          </w:p>
          <w:p>
            <w:pPr>
              <w:pStyle w:val="23"/>
              <w:spacing w:before="17" w:line="290" w:lineRule="auto"/>
              <w:ind w:left="102" w:right="101"/>
              <w:jc w:val="both"/>
              <w:rPr>
                <w:rFonts w:ascii="宋体" w:hAnsi="宋体" w:eastAsia="宋体" w:cs="宋体"/>
                <w:sz w:val="24"/>
                <w:szCs w:val="24"/>
                <w:highlight w:val="none"/>
              </w:rPr>
            </w:pPr>
            <w:r>
              <w:rPr>
                <w:rFonts w:ascii="宋体" w:hAnsi="宋体" w:eastAsia="宋体" w:cs="宋体"/>
                <w:sz w:val="24"/>
                <w:szCs w:val="24"/>
                <w:highlight w:val="none"/>
              </w:rPr>
              <w:t xml:space="preserve">（3）所有要求法定代表人或其委托代理人签字的地方都 </w:t>
            </w:r>
            <w:r>
              <w:rPr>
                <w:rFonts w:ascii="宋体" w:hAnsi="宋体" w:eastAsia="宋体" w:cs="宋体"/>
                <w:spacing w:val="-3"/>
                <w:sz w:val="24"/>
                <w:szCs w:val="24"/>
                <w:highlight w:val="none"/>
              </w:rPr>
              <w:t>应盖法定代表人或其委托代理人的CA印章；如若委托代理</w:t>
            </w:r>
            <w:r>
              <w:rPr>
                <w:rFonts w:ascii="宋体" w:hAnsi="宋体" w:eastAsia="宋体" w:cs="宋体"/>
                <w:spacing w:val="-117"/>
                <w:sz w:val="24"/>
                <w:szCs w:val="24"/>
                <w:highlight w:val="none"/>
              </w:rPr>
              <w:t xml:space="preserve"> </w:t>
            </w:r>
            <w:r>
              <w:rPr>
                <w:rFonts w:ascii="宋体" w:hAnsi="宋体" w:eastAsia="宋体" w:cs="宋体"/>
                <w:spacing w:val="-3"/>
                <w:sz w:val="24"/>
                <w:szCs w:val="24"/>
                <w:highlight w:val="none"/>
              </w:rPr>
              <w:t>人没有CA锁，则投标文件需上传有委托代理人手写签名的</w:t>
            </w:r>
            <w:r>
              <w:rPr>
                <w:rFonts w:ascii="宋体" w:hAnsi="宋体" w:eastAsia="宋体" w:cs="宋体"/>
                <w:spacing w:val="-117"/>
                <w:sz w:val="24"/>
                <w:szCs w:val="24"/>
                <w:highlight w:val="none"/>
              </w:rPr>
              <w:t xml:space="preserve"> </w:t>
            </w:r>
            <w:r>
              <w:rPr>
                <w:rFonts w:ascii="宋体" w:hAnsi="宋体" w:eastAsia="宋体" w:cs="宋体"/>
                <w:sz w:val="24"/>
                <w:szCs w:val="24"/>
                <w:highlight w:val="none"/>
              </w:rPr>
              <w:t>扫描件。</w:t>
            </w:r>
          </w:p>
        </w:tc>
      </w:tr>
      <w:tr>
        <w:tblPrEx>
          <w:tblCellMar>
            <w:top w:w="0" w:type="dxa"/>
            <w:left w:w="0" w:type="dxa"/>
            <w:bottom w:w="0" w:type="dxa"/>
            <w:right w:w="0" w:type="dxa"/>
          </w:tblCellMar>
        </w:tblPrEx>
        <w:trPr>
          <w:trHeight w:val="4944" w:hRule="exact"/>
        </w:trPr>
        <w:tc>
          <w:tcPr>
            <w:tcW w:w="1100"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before="5" w:line="240" w:lineRule="auto"/>
              <w:ind w:right="0"/>
              <w:jc w:val="left"/>
              <w:rPr>
                <w:rFonts w:ascii="Times New Roman" w:hAnsi="Times New Roman" w:eastAsia="Times New Roman" w:cs="Times New Roman"/>
                <w:sz w:val="23"/>
                <w:szCs w:val="23"/>
                <w:highlight w:val="none"/>
              </w:rPr>
            </w:pPr>
          </w:p>
          <w:p>
            <w:pPr>
              <w:pStyle w:val="23"/>
              <w:spacing w:line="240" w:lineRule="auto"/>
              <w:ind w:left="245" w:right="0"/>
              <w:jc w:val="left"/>
              <w:rPr>
                <w:rFonts w:ascii="宋体" w:hAnsi="宋体" w:eastAsia="宋体" w:cs="宋体"/>
                <w:sz w:val="24"/>
                <w:szCs w:val="24"/>
                <w:highlight w:val="none"/>
              </w:rPr>
            </w:pPr>
            <w:r>
              <w:rPr>
                <w:rFonts w:ascii="宋体"/>
                <w:sz w:val="24"/>
                <w:highlight w:val="none"/>
              </w:rPr>
              <w:t>3.7.4</w:t>
            </w:r>
          </w:p>
        </w:tc>
        <w:tc>
          <w:tcPr>
            <w:tcW w:w="2664" w:type="dxa"/>
            <w:tcBorders>
              <w:top w:val="single" w:color="000000" w:sz="4" w:space="0"/>
              <w:left w:val="single" w:color="000000" w:sz="4" w:space="0"/>
              <w:bottom w:val="single" w:color="000000" w:sz="4" w:space="0"/>
              <w:right w:val="single" w:color="000000" w:sz="4" w:space="0"/>
            </w:tcBorders>
          </w:tcPr>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line="240" w:lineRule="auto"/>
              <w:ind w:right="0"/>
              <w:jc w:val="left"/>
              <w:rPr>
                <w:rFonts w:ascii="Times New Roman" w:hAnsi="Times New Roman" w:eastAsia="Times New Roman" w:cs="Times New Roman"/>
                <w:sz w:val="24"/>
                <w:szCs w:val="24"/>
                <w:highlight w:val="none"/>
              </w:rPr>
            </w:pPr>
          </w:p>
          <w:p>
            <w:pPr>
              <w:pStyle w:val="23"/>
              <w:spacing w:before="5" w:line="240" w:lineRule="auto"/>
              <w:ind w:right="0"/>
              <w:jc w:val="left"/>
              <w:rPr>
                <w:rFonts w:ascii="Times New Roman" w:hAnsi="Times New Roman" w:eastAsia="Times New Roman" w:cs="Times New Roman"/>
                <w:sz w:val="23"/>
                <w:szCs w:val="23"/>
                <w:highlight w:val="none"/>
              </w:rPr>
            </w:pPr>
          </w:p>
          <w:p>
            <w:pPr>
              <w:pStyle w:val="23"/>
              <w:spacing w:line="240" w:lineRule="auto"/>
              <w:ind w:left="246" w:right="0"/>
              <w:jc w:val="left"/>
              <w:rPr>
                <w:rFonts w:ascii="宋体" w:hAnsi="宋体" w:eastAsia="宋体" w:cs="宋体"/>
                <w:sz w:val="24"/>
                <w:szCs w:val="24"/>
                <w:highlight w:val="none"/>
              </w:rPr>
            </w:pPr>
            <w:r>
              <w:rPr>
                <w:rFonts w:ascii="宋体" w:hAnsi="宋体" w:eastAsia="宋体" w:cs="宋体"/>
                <w:sz w:val="24"/>
                <w:szCs w:val="24"/>
                <w:highlight w:val="none"/>
              </w:rPr>
              <w:t>投标文件份数及要求</w:t>
            </w:r>
          </w:p>
        </w:tc>
        <w:tc>
          <w:tcPr>
            <w:tcW w:w="6141" w:type="dxa"/>
            <w:tcBorders>
              <w:top w:val="single" w:color="000000" w:sz="4" w:space="0"/>
              <w:left w:val="single" w:color="000000" w:sz="4" w:space="0"/>
              <w:bottom w:val="single" w:color="000000" w:sz="4" w:space="0"/>
              <w:right w:val="single" w:color="000000" w:sz="4" w:space="0"/>
            </w:tcBorders>
          </w:tcPr>
          <w:p>
            <w:pPr>
              <w:pStyle w:val="23"/>
              <w:spacing w:before="24" w:line="290" w:lineRule="auto"/>
              <w:ind w:left="102" w:right="101"/>
              <w:jc w:val="left"/>
              <w:rPr>
                <w:rFonts w:ascii="宋体" w:hAnsi="宋体" w:eastAsia="宋体" w:cs="宋体"/>
                <w:sz w:val="24"/>
                <w:szCs w:val="24"/>
                <w:highlight w:val="none"/>
              </w:rPr>
            </w:pPr>
            <w:r>
              <w:rPr>
                <w:rFonts w:ascii="宋体" w:hAnsi="宋体" w:eastAsia="宋体" w:cs="宋体"/>
                <w:sz w:val="24"/>
                <w:szCs w:val="24"/>
                <w:highlight w:val="none"/>
              </w:rPr>
              <w:t xml:space="preserve">投标人须使用电子交易系统提供的投标文件制作工具进 </w:t>
            </w:r>
            <w:r>
              <w:rPr>
                <w:rFonts w:ascii="宋体" w:hAnsi="宋体" w:eastAsia="宋体" w:cs="宋体"/>
                <w:spacing w:val="-5"/>
                <w:sz w:val="24"/>
                <w:szCs w:val="24"/>
                <w:highlight w:val="none"/>
              </w:rPr>
              <w:t xml:space="preserve">行电子投标文件的制作，并按要求上传经 </w:t>
            </w:r>
            <w:r>
              <w:rPr>
                <w:rFonts w:ascii="宋体" w:hAnsi="宋体" w:eastAsia="宋体" w:cs="宋体"/>
                <w:sz w:val="24"/>
                <w:szCs w:val="24"/>
                <w:highlight w:val="none"/>
              </w:rPr>
              <w:t>CA</w:t>
            </w:r>
            <w:r>
              <w:rPr>
                <w:rFonts w:ascii="宋体" w:hAnsi="宋体" w:eastAsia="宋体" w:cs="宋体"/>
                <w:spacing w:val="19"/>
                <w:sz w:val="24"/>
                <w:szCs w:val="24"/>
                <w:highlight w:val="none"/>
              </w:rPr>
              <w:t xml:space="preserve"> </w:t>
            </w:r>
            <w:r>
              <w:rPr>
                <w:rFonts w:ascii="宋体" w:hAnsi="宋体" w:eastAsia="宋体" w:cs="宋体"/>
                <w:sz w:val="24"/>
                <w:szCs w:val="24"/>
                <w:highlight w:val="none"/>
              </w:rPr>
              <w:t>锁签章和加 密的电子投标文件（.ZMTF格式）壹份。</w:t>
            </w:r>
          </w:p>
          <w:p>
            <w:pPr>
              <w:pStyle w:val="23"/>
              <w:spacing w:before="14" w:line="240" w:lineRule="auto"/>
              <w:ind w:left="102" w:right="0"/>
              <w:jc w:val="left"/>
              <w:rPr>
                <w:rFonts w:ascii="宋体" w:hAnsi="宋体" w:eastAsia="宋体" w:cs="宋体"/>
                <w:sz w:val="24"/>
                <w:szCs w:val="24"/>
                <w:highlight w:val="none"/>
              </w:rPr>
            </w:pPr>
            <w:r>
              <w:rPr>
                <w:rFonts w:ascii="宋体" w:hAnsi="宋体" w:eastAsia="宋体" w:cs="宋体"/>
                <w:sz w:val="24"/>
                <w:szCs w:val="24"/>
                <w:highlight w:val="none"/>
              </w:rPr>
              <w:t>注意事项：</w:t>
            </w:r>
          </w:p>
          <w:p>
            <w:pPr>
              <w:pStyle w:val="23"/>
              <w:spacing w:before="67" w:line="290" w:lineRule="auto"/>
              <w:ind w:left="102" w:right="146"/>
              <w:jc w:val="left"/>
              <w:rPr>
                <w:rFonts w:ascii="宋体" w:hAnsi="宋体" w:eastAsia="宋体" w:cs="宋体"/>
                <w:sz w:val="24"/>
                <w:szCs w:val="24"/>
                <w:highlight w:val="none"/>
              </w:rPr>
            </w:pPr>
            <w:r>
              <w:rPr>
                <w:rFonts w:ascii="宋体" w:hAnsi="宋体" w:eastAsia="宋体" w:cs="宋体"/>
                <w:sz w:val="24"/>
                <w:szCs w:val="24"/>
                <w:highlight w:val="none"/>
              </w:rPr>
              <w:t>（1）加密电子投标文件（.ZMTF 格式）须在投标截止时 间前通过“中牟县公共资源交易中心</w:t>
            </w:r>
            <w:r>
              <w:rPr>
                <w:highlight w:val="none"/>
              </w:rPr>
              <w:fldChar w:fldCharType="begin"/>
            </w:r>
            <w:r>
              <w:rPr>
                <w:highlight w:val="none"/>
              </w:rPr>
              <w:instrText xml:space="preserve"> HYPERLINK "http://www.zmxggzy.com/" \h </w:instrText>
            </w:r>
            <w:r>
              <w:rPr>
                <w:highlight w:val="none"/>
              </w:rPr>
              <w:fldChar w:fldCharType="separate"/>
            </w:r>
            <w:r>
              <w:rPr>
                <w:rFonts w:ascii="宋体" w:hAnsi="宋体" w:eastAsia="宋体" w:cs="宋体"/>
                <w:sz w:val="24"/>
                <w:szCs w:val="24"/>
                <w:highlight w:val="none"/>
              </w:rPr>
              <w:t xml:space="preserve"> http://www.zmxggzy.com/</w:t>
            </w:r>
            <w:r>
              <w:rPr>
                <w:rFonts w:ascii="宋体" w:hAnsi="宋体" w:eastAsia="宋体" w:cs="宋体"/>
                <w:sz w:val="24"/>
                <w:szCs w:val="24"/>
                <w:highlight w:val="none"/>
              </w:rPr>
              <w:fldChar w:fldCharType="end"/>
            </w:r>
            <w:r>
              <w:rPr>
                <w:rFonts w:ascii="宋体" w:hAnsi="宋体" w:eastAsia="宋体" w:cs="宋体"/>
                <w:sz w:val="24"/>
                <w:szCs w:val="24"/>
                <w:highlight w:val="none"/>
              </w:rPr>
              <w:t>）”电子交易平台加密上传； 逾期上传的，采购人不予接收。</w:t>
            </w:r>
          </w:p>
          <w:p>
            <w:pPr>
              <w:pStyle w:val="23"/>
              <w:spacing w:before="14" w:line="290" w:lineRule="auto"/>
              <w:ind w:left="102" w:right="-17"/>
              <w:jc w:val="left"/>
              <w:rPr>
                <w:rFonts w:hint="eastAsia" w:ascii="宋体" w:hAnsi="宋体" w:eastAsia="宋体" w:cs="宋体"/>
                <w:sz w:val="24"/>
                <w:szCs w:val="24"/>
                <w:highlight w:val="none"/>
                <w:lang w:eastAsia="zh-CN"/>
              </w:rPr>
            </w:pPr>
            <w:r>
              <w:rPr>
                <w:rFonts w:ascii="宋体" w:hAnsi="宋体" w:eastAsia="宋体" w:cs="宋体"/>
                <w:sz w:val="24"/>
                <w:szCs w:val="24"/>
                <w:highlight w:val="none"/>
              </w:rPr>
              <w:t xml:space="preserve">（2）相关驱动和电子投标工具请登录中牟县公共资源交 </w:t>
            </w:r>
            <w:r>
              <w:rPr>
                <w:rFonts w:ascii="宋体" w:hAnsi="宋体" w:eastAsia="宋体" w:cs="宋体"/>
                <w:spacing w:val="-6"/>
                <w:sz w:val="24"/>
                <w:szCs w:val="24"/>
                <w:highlight w:val="none"/>
              </w:rPr>
              <w:t>易中心门户网站</w:t>
            </w:r>
            <w:r>
              <w:rPr>
                <w:highlight w:val="none"/>
              </w:rPr>
              <w:fldChar w:fldCharType="begin"/>
            </w:r>
            <w:r>
              <w:rPr>
                <w:highlight w:val="none"/>
              </w:rPr>
              <w:instrText xml:space="preserve"> HYPERLINK "http://www.zmxggzy.com/" \h </w:instrText>
            </w:r>
            <w:r>
              <w:rPr>
                <w:highlight w:val="none"/>
              </w:rPr>
              <w:fldChar w:fldCharType="separate"/>
            </w:r>
            <w:r>
              <w:rPr>
                <w:rFonts w:ascii="宋体" w:hAnsi="宋体" w:eastAsia="宋体" w:cs="宋体"/>
                <w:spacing w:val="-6"/>
                <w:sz w:val="24"/>
                <w:szCs w:val="24"/>
                <w:highlight w:val="none"/>
              </w:rPr>
              <w:t>（http://www.zmxggzy.com</w:t>
            </w:r>
            <w:r>
              <w:rPr>
                <w:rFonts w:ascii="宋体" w:hAnsi="宋体" w:eastAsia="宋体" w:cs="宋体"/>
                <w:spacing w:val="-6"/>
                <w:sz w:val="24"/>
                <w:szCs w:val="24"/>
                <w:highlight w:val="none"/>
              </w:rPr>
              <w:fldChar w:fldCharType="end"/>
            </w:r>
            <w:r>
              <w:rPr>
                <w:rFonts w:ascii="宋体" w:hAnsi="宋体" w:eastAsia="宋体" w:cs="宋体"/>
                <w:spacing w:val="-6"/>
                <w:sz w:val="24"/>
                <w:szCs w:val="24"/>
                <w:highlight w:val="none"/>
              </w:rPr>
              <w:t>）“下载中心”</w:t>
            </w:r>
            <w:r>
              <w:rPr>
                <w:rFonts w:ascii="宋体" w:hAnsi="宋体" w:eastAsia="宋体" w:cs="宋体"/>
                <w:spacing w:val="-93"/>
                <w:sz w:val="24"/>
                <w:szCs w:val="24"/>
                <w:highlight w:val="none"/>
              </w:rPr>
              <w:t xml:space="preserve"> </w:t>
            </w:r>
            <w:r>
              <w:rPr>
                <w:rFonts w:ascii="宋体" w:hAnsi="宋体" w:eastAsia="宋体" w:cs="宋体"/>
                <w:spacing w:val="-3"/>
                <w:sz w:val="24"/>
                <w:szCs w:val="24"/>
                <w:highlight w:val="none"/>
              </w:rPr>
              <w:t>栏目下载。投标人在制作电子标书过程中，如遇到电子交</w:t>
            </w:r>
            <w:r>
              <w:rPr>
                <w:rFonts w:hint="eastAsia" w:ascii="宋体" w:hAnsi="宋体" w:eastAsia="宋体" w:cs="宋体"/>
                <w:spacing w:val="-3"/>
                <w:sz w:val="24"/>
                <w:szCs w:val="24"/>
                <w:highlight w:val="none"/>
              </w:rPr>
              <w:t>易系统的软件操作问题时，可通过热线电（4009980000） 进行咨询</w:t>
            </w:r>
            <w:r>
              <w:rPr>
                <w:rFonts w:hint="eastAsia" w:ascii="宋体" w:hAnsi="宋体" w:eastAsia="宋体" w:cs="宋体"/>
                <w:spacing w:val="-3"/>
                <w:sz w:val="24"/>
                <w:szCs w:val="24"/>
                <w:highlight w:val="none"/>
                <w:lang w:eastAsia="zh-CN"/>
              </w:rPr>
              <w:t>。</w:t>
            </w:r>
          </w:p>
        </w:tc>
      </w:tr>
      <w:tr>
        <w:tblPrEx>
          <w:tblCellMar>
            <w:top w:w="0" w:type="dxa"/>
            <w:left w:w="0" w:type="dxa"/>
            <w:bottom w:w="0" w:type="dxa"/>
            <w:right w:w="0" w:type="dxa"/>
          </w:tblCellMar>
        </w:tblPrEx>
        <w:trPr>
          <w:trHeight w:val="881"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24" w:line="240" w:lineRule="auto"/>
              <w:ind w:left="245" w:leftChars="0" w:right="0" w:rightChars="0"/>
              <w:jc w:val="left"/>
              <w:rPr>
                <w:rFonts w:ascii="宋体" w:hAnsi="宋体" w:eastAsia="宋体" w:cs="宋体"/>
                <w:sz w:val="24"/>
                <w:szCs w:val="24"/>
                <w:highlight w:val="none"/>
                <w:lang w:val="en-US" w:eastAsia="en-US" w:bidi="ar-SA"/>
              </w:rPr>
            </w:pPr>
            <w:r>
              <w:rPr>
                <w:rFonts w:ascii="宋体"/>
                <w:sz w:val="24"/>
                <w:highlight w:val="none"/>
              </w:rPr>
              <w:t>4.2.3</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24" w:line="240" w:lineRule="auto"/>
              <w:ind w:left="366"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是否退还投标文件</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24" w:line="240" w:lineRule="auto"/>
              <w:ind w:left="102"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否</w:t>
            </w:r>
          </w:p>
        </w:tc>
      </w:tr>
      <w:tr>
        <w:tblPrEx>
          <w:tblCellMar>
            <w:top w:w="0" w:type="dxa"/>
            <w:left w:w="0" w:type="dxa"/>
            <w:bottom w:w="0" w:type="dxa"/>
            <w:right w:w="0" w:type="dxa"/>
          </w:tblCellMar>
        </w:tblPrEx>
        <w:trPr>
          <w:trHeight w:val="881" w:hRule="exact"/>
        </w:trPr>
        <w:tc>
          <w:tcPr>
            <w:tcW w:w="1100" w:type="dxa"/>
            <w:tcBorders>
              <w:top w:val="single" w:color="000000" w:sz="4" w:space="0"/>
              <w:left w:val="single" w:color="000000" w:sz="4" w:space="0"/>
              <w:bottom w:val="single" w:color="000000" w:sz="4" w:space="0"/>
              <w:right w:val="single" w:color="000000" w:sz="4" w:space="0"/>
            </w:tcBorders>
            <w:vAlign w:val="top"/>
          </w:tcPr>
          <w:p>
            <w:pPr>
              <w:pStyle w:val="23"/>
              <w:spacing w:before="215" w:line="240" w:lineRule="auto"/>
              <w:ind w:right="0" w:rightChars="0"/>
              <w:jc w:val="center"/>
              <w:rPr>
                <w:rFonts w:ascii="宋体" w:hAnsi="宋体" w:eastAsia="宋体" w:cs="宋体"/>
                <w:sz w:val="24"/>
                <w:szCs w:val="24"/>
                <w:highlight w:val="none"/>
                <w:lang w:val="en-US" w:eastAsia="en-US" w:bidi="ar-SA"/>
              </w:rPr>
            </w:pPr>
            <w:r>
              <w:rPr>
                <w:rFonts w:ascii="宋体"/>
                <w:sz w:val="24"/>
                <w:highlight w:val="none"/>
              </w:rPr>
              <w:t>5.1</w:t>
            </w:r>
          </w:p>
        </w:tc>
        <w:tc>
          <w:tcPr>
            <w:tcW w:w="2664" w:type="dxa"/>
            <w:tcBorders>
              <w:top w:val="single" w:color="000000" w:sz="4" w:space="0"/>
              <w:left w:val="single" w:color="000000" w:sz="4" w:space="0"/>
              <w:bottom w:val="single" w:color="000000" w:sz="4" w:space="0"/>
              <w:right w:val="single" w:color="000000" w:sz="4" w:space="0"/>
            </w:tcBorders>
            <w:vAlign w:val="top"/>
          </w:tcPr>
          <w:p>
            <w:pPr>
              <w:pStyle w:val="23"/>
              <w:spacing w:before="215" w:line="240" w:lineRule="auto"/>
              <w:ind w:left="486" w:leftChars="0" w:right="0"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开标时间和地点</w:t>
            </w:r>
          </w:p>
        </w:tc>
        <w:tc>
          <w:tcPr>
            <w:tcW w:w="6141" w:type="dxa"/>
            <w:tcBorders>
              <w:top w:val="single" w:color="000000" w:sz="4" w:space="0"/>
              <w:left w:val="single" w:color="000000" w:sz="4" w:space="0"/>
              <w:bottom w:val="single" w:color="000000" w:sz="4" w:space="0"/>
              <w:right w:val="single" w:color="000000" w:sz="4" w:space="0"/>
            </w:tcBorders>
            <w:vAlign w:val="top"/>
          </w:tcPr>
          <w:p>
            <w:pPr>
              <w:pStyle w:val="23"/>
              <w:spacing w:before="26" w:line="290" w:lineRule="auto"/>
              <w:ind w:left="102" w:leftChars="0" w:right="986" w:rightChars="0"/>
              <w:jc w:val="left"/>
              <w:rPr>
                <w:rFonts w:ascii="宋体" w:hAnsi="宋体" w:eastAsia="宋体" w:cs="宋体"/>
                <w:sz w:val="24"/>
                <w:szCs w:val="24"/>
                <w:highlight w:val="none"/>
              </w:rPr>
            </w:pPr>
            <w:r>
              <w:rPr>
                <w:rFonts w:ascii="宋体" w:hAnsi="宋体" w:eastAsia="宋体" w:cs="宋体"/>
                <w:sz w:val="24"/>
                <w:szCs w:val="24"/>
                <w:highlight w:val="none"/>
              </w:rPr>
              <w:t>开标时间</w:t>
            </w:r>
            <w:r>
              <w:rPr>
                <w:rFonts w:hint="eastAsia" w:ascii="宋体" w:hAnsi="宋体" w:eastAsia="宋体" w:cs="宋体"/>
                <w:sz w:val="24"/>
                <w:szCs w:val="24"/>
                <w:highlight w:val="none"/>
                <w:lang w:val="en-US" w:eastAsia="zh-CN"/>
              </w:rPr>
              <w:t>:同</w:t>
            </w:r>
            <w:r>
              <w:rPr>
                <w:rFonts w:ascii="宋体" w:hAnsi="宋体" w:eastAsia="宋体" w:cs="宋体"/>
                <w:sz w:val="24"/>
                <w:szCs w:val="24"/>
                <w:highlight w:val="none"/>
              </w:rPr>
              <w:t xml:space="preserve">递交投标文件截止时间 </w:t>
            </w:r>
          </w:p>
          <w:p>
            <w:pPr>
              <w:pStyle w:val="23"/>
              <w:spacing w:before="26" w:line="290" w:lineRule="auto"/>
              <w:ind w:left="102" w:leftChars="0" w:right="986" w:rightChars="0"/>
              <w:jc w:val="left"/>
              <w:rPr>
                <w:rFonts w:ascii="宋体" w:hAnsi="宋体" w:eastAsia="宋体" w:cs="宋体"/>
                <w:sz w:val="24"/>
                <w:szCs w:val="24"/>
                <w:highlight w:val="none"/>
                <w:lang w:val="en-US" w:eastAsia="en-US" w:bidi="ar-SA"/>
              </w:rPr>
            </w:pPr>
            <w:r>
              <w:rPr>
                <w:rFonts w:ascii="宋体" w:hAnsi="宋体" w:eastAsia="宋体" w:cs="宋体"/>
                <w:sz w:val="24"/>
                <w:szCs w:val="24"/>
                <w:highlight w:val="none"/>
              </w:rPr>
              <w:t>开标地点：同递交投标文件地点</w:t>
            </w:r>
          </w:p>
        </w:tc>
      </w:tr>
      <w:tr>
        <w:tblPrEx>
          <w:tblCellMar>
            <w:top w:w="0" w:type="dxa"/>
            <w:left w:w="0" w:type="dxa"/>
            <w:bottom w:w="0" w:type="dxa"/>
            <w:right w:w="0" w:type="dxa"/>
          </w:tblCellMar>
        </w:tblPrEx>
        <w:trPr>
          <w:trHeight w:val="7597" w:hRule="exact"/>
        </w:trPr>
        <w:tc>
          <w:tcPr>
            <w:tcW w:w="1100"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0" w:rightChars="0" w:firstLine="240" w:firstLineChars="100"/>
              <w:jc w:val="both"/>
              <w:rPr>
                <w:rFonts w:ascii="宋体" w:hAnsi="宋体" w:eastAsia="宋体" w:cs="宋体"/>
                <w:sz w:val="24"/>
                <w:szCs w:val="24"/>
                <w:highlight w:val="none"/>
                <w:lang w:val="en-US" w:eastAsia="en-US" w:bidi="ar-SA"/>
              </w:rPr>
            </w:pPr>
            <w:r>
              <w:rPr>
                <w:rFonts w:ascii="宋体"/>
                <w:sz w:val="24"/>
                <w:highlight w:val="none"/>
              </w:rPr>
              <w:t>5.2</w:t>
            </w:r>
          </w:p>
        </w:tc>
        <w:tc>
          <w:tcPr>
            <w:tcW w:w="2664" w:type="dxa"/>
            <w:tcBorders>
              <w:top w:val="single" w:color="000000" w:sz="4" w:space="0"/>
              <w:left w:val="single" w:color="000000" w:sz="4" w:space="0"/>
              <w:bottom w:val="single" w:color="000000" w:sz="4" w:space="0"/>
              <w:right w:val="single" w:color="000000" w:sz="4" w:space="0"/>
            </w:tcBorders>
            <w:vAlign w:val="center"/>
          </w:tcPr>
          <w:p>
            <w:pPr>
              <w:pStyle w:val="23"/>
              <w:spacing w:line="240" w:lineRule="auto"/>
              <w:ind w:right="0" w:rightChars="0"/>
              <w:jc w:val="both"/>
              <w:rPr>
                <w:rFonts w:ascii="宋体" w:hAnsi="宋体" w:eastAsia="宋体" w:cs="宋体"/>
                <w:sz w:val="24"/>
                <w:szCs w:val="24"/>
                <w:highlight w:val="none"/>
                <w:lang w:val="en-US" w:eastAsia="en-US" w:bidi="ar-SA"/>
              </w:rPr>
            </w:pPr>
            <w:r>
              <w:rPr>
                <w:rFonts w:ascii="宋体" w:hAnsi="宋体" w:eastAsia="宋体" w:cs="宋体"/>
                <w:sz w:val="24"/>
                <w:szCs w:val="24"/>
                <w:highlight w:val="none"/>
              </w:rPr>
              <w:t>开标程序</w:t>
            </w:r>
          </w:p>
        </w:tc>
        <w:tc>
          <w:tcPr>
            <w:tcW w:w="6141" w:type="dxa"/>
            <w:tcBorders>
              <w:top w:val="single" w:color="000000" w:sz="4" w:space="0"/>
              <w:left w:val="single" w:color="000000" w:sz="4" w:space="0"/>
              <w:bottom w:val="single" w:color="000000" w:sz="4" w:space="0"/>
              <w:right w:val="single" w:color="000000" w:sz="4" w:space="0"/>
            </w:tcBorders>
            <w:vAlign w:val="center"/>
          </w:tcPr>
          <w:p>
            <w:pPr>
              <w:pStyle w:val="23"/>
              <w:spacing w:before="24" w:line="292" w:lineRule="auto"/>
              <w:ind w:left="102" w:right="1946"/>
              <w:jc w:val="both"/>
              <w:rPr>
                <w:rFonts w:ascii="宋体" w:hAnsi="宋体" w:eastAsia="宋体" w:cs="宋体"/>
                <w:sz w:val="24"/>
                <w:szCs w:val="24"/>
                <w:highlight w:val="none"/>
              </w:rPr>
            </w:pPr>
            <w:r>
              <w:rPr>
                <w:rFonts w:ascii="宋体" w:hAnsi="宋体" w:eastAsia="宋体" w:cs="宋体"/>
                <w:sz w:val="24"/>
                <w:szCs w:val="24"/>
                <w:highlight w:val="none"/>
              </w:rPr>
              <w:t>本项目采用“远程不见面”电子开标。 注意事项如下：</w:t>
            </w:r>
          </w:p>
          <w:p>
            <w:pPr>
              <w:pStyle w:val="23"/>
              <w:spacing w:before="12" w:line="290" w:lineRule="auto"/>
              <w:ind w:left="102" w:right="101"/>
              <w:jc w:val="both"/>
              <w:rPr>
                <w:rFonts w:ascii="宋体" w:hAnsi="宋体" w:eastAsia="宋体" w:cs="宋体"/>
                <w:sz w:val="24"/>
                <w:szCs w:val="24"/>
                <w:highlight w:val="none"/>
              </w:rPr>
            </w:pPr>
            <w:r>
              <w:rPr>
                <w:rFonts w:ascii="宋体" w:hAnsi="宋体" w:eastAsia="宋体" w:cs="宋体"/>
                <w:spacing w:val="-3"/>
                <w:sz w:val="24"/>
                <w:szCs w:val="24"/>
                <w:highlight w:val="none"/>
              </w:rPr>
              <w:t>根据“中牟县公共资源交易中心关于推行不见面开标服务</w:t>
            </w:r>
            <w:r>
              <w:rPr>
                <w:rFonts w:ascii="宋体" w:hAnsi="宋体" w:eastAsia="宋体" w:cs="宋体"/>
                <w:sz w:val="24"/>
                <w:szCs w:val="24"/>
                <w:highlight w:val="none"/>
              </w:rPr>
              <w:t xml:space="preserve"> </w:t>
            </w:r>
            <w:r>
              <w:rPr>
                <w:rFonts w:ascii="宋体" w:hAnsi="宋体" w:eastAsia="宋体" w:cs="宋体"/>
                <w:spacing w:val="-3"/>
                <w:sz w:val="24"/>
                <w:szCs w:val="24"/>
                <w:highlight w:val="none"/>
              </w:rPr>
              <w:t>的通知”，投标人无需到交易中心现场参加开标会议，评</w:t>
            </w:r>
            <w:r>
              <w:rPr>
                <w:rFonts w:ascii="宋体" w:hAnsi="宋体" w:eastAsia="宋体" w:cs="宋体"/>
                <w:sz w:val="24"/>
                <w:szCs w:val="24"/>
                <w:highlight w:val="none"/>
              </w:rPr>
              <w:t xml:space="preserve"> 标委员会不再对投标文件中涉及的相关资料原件进行验 证，所有投标人不需提供证书原件。 2）本项目所有投标人应提前30分钟登录“中牟县公共资 源交易中心门户网站远程开标大厅</w:t>
            </w:r>
          </w:p>
          <w:p>
            <w:pPr>
              <w:pStyle w:val="23"/>
              <w:spacing w:before="14" w:line="290" w:lineRule="auto"/>
              <w:ind w:left="102" w:right="26"/>
              <w:jc w:val="both"/>
              <w:rPr>
                <w:rFonts w:ascii="宋体" w:hAnsi="宋体" w:eastAsia="宋体" w:cs="宋体"/>
                <w:sz w:val="24"/>
                <w:szCs w:val="24"/>
                <w:highlight w:val="none"/>
              </w:rPr>
            </w:pPr>
            <w:r>
              <w:rPr>
                <w:highlight w:val="none"/>
              </w:rPr>
              <w:fldChar w:fldCharType="begin"/>
            </w:r>
            <w:r>
              <w:rPr>
                <w:highlight w:val="none"/>
              </w:rPr>
              <w:instrText xml:space="preserve"> HYPERLINK "http://www.zmxggzy.com/BidOpening" \h </w:instrText>
            </w:r>
            <w:r>
              <w:rPr>
                <w:highlight w:val="none"/>
              </w:rPr>
              <w:fldChar w:fldCharType="separate"/>
            </w:r>
            <w:r>
              <w:rPr>
                <w:rFonts w:ascii="宋体" w:hAnsi="宋体" w:eastAsia="宋体" w:cs="宋体"/>
                <w:sz w:val="24"/>
                <w:szCs w:val="24"/>
                <w:highlight w:val="none"/>
              </w:rPr>
              <w:t>（http://www.zmxggzy.com/BidOpening</w:t>
            </w:r>
            <w:r>
              <w:rPr>
                <w:rFonts w:ascii="宋体" w:hAnsi="宋体" w:eastAsia="宋体" w:cs="宋体"/>
                <w:sz w:val="24"/>
                <w:szCs w:val="24"/>
                <w:highlight w:val="none"/>
              </w:rPr>
              <w:fldChar w:fldCharType="end"/>
            </w:r>
            <w:r>
              <w:rPr>
                <w:rFonts w:ascii="宋体" w:hAnsi="宋体" w:eastAsia="宋体" w:cs="宋体"/>
                <w:sz w:val="24"/>
                <w:szCs w:val="24"/>
                <w:highlight w:val="none"/>
              </w:rPr>
              <w:t xml:space="preserve">）”进行远程开 标准备工作。 </w:t>
            </w:r>
            <w:r>
              <w:rPr>
                <w:rFonts w:ascii="宋体" w:hAnsi="宋体" w:eastAsia="宋体" w:cs="宋体"/>
                <w:spacing w:val="-3"/>
                <w:sz w:val="24"/>
                <w:szCs w:val="24"/>
                <w:highlight w:val="none"/>
              </w:rPr>
              <w:t>3)投标人登录“中牟县公共资源交易中心门户网站远程开</w:t>
            </w:r>
            <w:r>
              <w:rPr>
                <w:rFonts w:ascii="宋体" w:hAnsi="宋体" w:eastAsia="宋体" w:cs="宋体"/>
                <w:spacing w:val="-117"/>
                <w:sz w:val="24"/>
                <w:szCs w:val="24"/>
                <w:highlight w:val="none"/>
              </w:rPr>
              <w:t xml:space="preserve"> </w:t>
            </w:r>
            <w:r>
              <w:rPr>
                <w:rFonts w:ascii="宋体" w:hAnsi="宋体" w:eastAsia="宋体" w:cs="宋体"/>
                <w:sz w:val="24"/>
                <w:szCs w:val="24"/>
                <w:highlight w:val="none"/>
              </w:rPr>
              <w:t xml:space="preserve">标大厅”后，须先进行签到，其后应一直保持在线状态， </w:t>
            </w:r>
            <w:r>
              <w:rPr>
                <w:rFonts w:ascii="宋体" w:hAnsi="宋体" w:eastAsia="宋体" w:cs="宋体"/>
                <w:spacing w:val="-3"/>
                <w:sz w:val="24"/>
                <w:szCs w:val="24"/>
                <w:highlight w:val="none"/>
              </w:rPr>
              <w:t>保证能准时参加开标大会、投标文件的解密、现场答疑澄</w:t>
            </w:r>
            <w:r>
              <w:rPr>
                <w:rFonts w:ascii="宋体" w:hAnsi="宋体" w:eastAsia="宋体" w:cs="宋体"/>
                <w:sz w:val="24"/>
                <w:szCs w:val="24"/>
                <w:highlight w:val="none"/>
              </w:rPr>
              <w:t xml:space="preserve"> 清等活动。</w:t>
            </w:r>
          </w:p>
          <w:p>
            <w:pPr>
              <w:pStyle w:val="23"/>
              <w:spacing w:line="240" w:lineRule="auto"/>
              <w:ind w:right="0" w:firstLine="240" w:firstLineChars="100"/>
              <w:jc w:val="both"/>
              <w:rPr>
                <w:rFonts w:ascii="宋体" w:hAnsi="宋体" w:eastAsia="宋体" w:cs="宋体"/>
                <w:sz w:val="24"/>
                <w:szCs w:val="24"/>
                <w:highlight w:val="none"/>
              </w:rPr>
            </w:pPr>
            <w:r>
              <w:rPr>
                <w:rFonts w:ascii="宋体" w:hAnsi="宋体" w:eastAsia="宋体" w:cs="宋体"/>
                <w:sz w:val="24"/>
                <w:szCs w:val="24"/>
                <w:highlight w:val="none"/>
              </w:rPr>
              <w:t>投标时间截止后按以下程序进行开标：</w:t>
            </w:r>
          </w:p>
          <w:p>
            <w:pPr>
              <w:pStyle w:val="23"/>
              <w:spacing w:before="67" w:line="290" w:lineRule="auto"/>
              <w:ind w:left="102" w:right="146"/>
              <w:jc w:val="both"/>
              <w:rPr>
                <w:rFonts w:ascii="宋体" w:hAnsi="宋体" w:eastAsia="宋体" w:cs="宋体"/>
                <w:sz w:val="24"/>
                <w:szCs w:val="24"/>
                <w:highlight w:val="none"/>
              </w:rPr>
            </w:pPr>
            <w:r>
              <w:rPr>
                <w:rFonts w:ascii="宋体" w:hAnsi="宋体" w:eastAsia="宋体" w:cs="宋体"/>
                <w:sz w:val="24"/>
                <w:szCs w:val="24"/>
                <w:highlight w:val="none"/>
              </w:rPr>
              <w:t>（1）公布在投标截止时间前系统上传投标文件的投标人 名称；</w:t>
            </w:r>
          </w:p>
          <w:p>
            <w:pPr>
              <w:pStyle w:val="23"/>
              <w:spacing w:before="14" w:line="240" w:lineRule="auto"/>
              <w:ind w:left="102" w:right="0"/>
              <w:jc w:val="both"/>
              <w:rPr>
                <w:rFonts w:ascii="宋体" w:hAnsi="宋体" w:eastAsia="宋体" w:cs="宋体"/>
                <w:sz w:val="24"/>
                <w:szCs w:val="24"/>
                <w:highlight w:val="none"/>
              </w:rPr>
            </w:pPr>
            <w:r>
              <w:rPr>
                <w:rFonts w:ascii="宋体" w:hAnsi="宋体" w:eastAsia="宋体" w:cs="宋体"/>
                <w:sz w:val="24"/>
                <w:szCs w:val="24"/>
                <w:highlight w:val="none"/>
              </w:rPr>
              <w:t>（2）解密；</w:t>
            </w:r>
          </w:p>
          <w:p>
            <w:pPr>
              <w:pStyle w:val="23"/>
              <w:spacing w:before="67" w:line="240" w:lineRule="auto"/>
              <w:ind w:left="102" w:leftChars="0" w:right="0" w:rightChars="0"/>
              <w:jc w:val="both"/>
              <w:rPr>
                <w:rFonts w:hint="eastAsia" w:ascii="宋体" w:hAnsi="宋体" w:eastAsia="宋体" w:cs="宋体"/>
                <w:sz w:val="24"/>
                <w:szCs w:val="24"/>
                <w:highlight w:val="none"/>
                <w:lang w:val="en-US" w:eastAsia="zh-CN" w:bidi="ar-SA"/>
              </w:rPr>
            </w:pPr>
            <w:r>
              <w:rPr>
                <w:rFonts w:ascii="宋体" w:hAnsi="宋体" w:eastAsia="宋体" w:cs="宋体"/>
                <w:sz w:val="24"/>
                <w:szCs w:val="24"/>
                <w:highlight w:val="none"/>
              </w:rPr>
              <w:t>（3）开标结束</w:t>
            </w:r>
            <w:r>
              <w:rPr>
                <w:rFonts w:hint="eastAsia" w:ascii="宋体" w:hAnsi="宋体" w:eastAsia="宋体" w:cs="宋体"/>
                <w:sz w:val="24"/>
                <w:szCs w:val="24"/>
                <w:highlight w:val="none"/>
                <w:lang w:eastAsia="zh-CN"/>
              </w:rPr>
              <w:t>。</w:t>
            </w:r>
          </w:p>
        </w:tc>
      </w:tr>
    </w:tbl>
    <w:tbl>
      <w:tblPr>
        <w:tblStyle w:val="17"/>
        <w:tblpPr w:leftFromText="180" w:rightFromText="180" w:vertAnchor="text" w:horzAnchor="page" w:tblpX="1059" w:tblpY="-4"/>
        <w:tblOverlap w:val="never"/>
        <w:tblW w:w="9889" w:type="dxa"/>
        <w:tblInd w:w="0" w:type="dxa"/>
        <w:tblLayout w:type="fixed"/>
        <w:tblCellMar>
          <w:top w:w="0" w:type="dxa"/>
          <w:left w:w="108" w:type="dxa"/>
          <w:bottom w:w="0" w:type="dxa"/>
          <w:right w:w="108" w:type="dxa"/>
        </w:tblCellMar>
      </w:tblPr>
      <w:tblGrid>
        <w:gridCol w:w="1096"/>
        <w:gridCol w:w="64"/>
        <w:gridCol w:w="256"/>
        <w:gridCol w:w="2329"/>
        <w:gridCol w:w="6144"/>
      </w:tblGrid>
      <w:tr>
        <w:tblPrEx>
          <w:tblCellMar>
            <w:top w:w="0" w:type="dxa"/>
            <w:left w:w="108" w:type="dxa"/>
            <w:bottom w:w="0" w:type="dxa"/>
            <w:right w:w="108" w:type="dxa"/>
          </w:tblCellMar>
        </w:tblPrEx>
        <w:trPr>
          <w:trHeight w:val="1070"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6.1.1</w:t>
            </w:r>
          </w:p>
        </w:tc>
        <w:tc>
          <w:tcPr>
            <w:tcW w:w="264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评标委员会的组建</w:t>
            </w:r>
          </w:p>
        </w:tc>
        <w:tc>
          <w:tcPr>
            <w:tcW w:w="614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评标委员会构成：</w:t>
            </w:r>
            <w:r>
              <w:rPr>
                <w:rFonts w:hint="eastAsia" w:ascii="宋体" w:hAnsi="宋体" w:eastAsia="宋体" w:cs="宋体"/>
                <w:sz w:val="24"/>
                <w:szCs w:val="24"/>
                <w:highlight w:val="none"/>
                <w:lang w:val="en-US" w:eastAsia="en-US" w:bidi="ar-SA"/>
              </w:rPr>
              <w:t>由</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代表和经济、技术专家共5人组成</w:t>
            </w:r>
            <w:r>
              <w:rPr>
                <w:rFonts w:ascii="宋体" w:hAnsi="宋体" w:eastAsia="宋体" w:cs="宋体"/>
                <w:sz w:val="24"/>
                <w:szCs w:val="24"/>
                <w:highlight w:val="none"/>
                <w:lang w:val="en-US" w:eastAsia="en-US" w:bidi="ar-SA"/>
              </w:rPr>
              <w:t>；</w:t>
            </w:r>
          </w:p>
          <w:p>
            <w:pPr>
              <w:adjustRightInd w:val="0"/>
              <w:spacing w:line="276" w:lineRule="auto"/>
              <w:textAlignment w:val="baseline"/>
              <w:rPr>
                <w:rFonts w:hint="eastAsia"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评标专家确定方式：</w:t>
            </w:r>
            <w:r>
              <w:rPr>
                <w:rFonts w:hint="eastAsia" w:ascii="宋体" w:hAnsi="宋体" w:eastAsia="宋体" w:cs="宋体"/>
                <w:sz w:val="24"/>
                <w:szCs w:val="24"/>
                <w:highlight w:val="none"/>
                <w:lang w:val="en-US" w:eastAsia="zh-CN" w:bidi="ar-SA"/>
              </w:rPr>
              <w:t>开标前24小时内在河南省政府采购专家库中随机抽取</w:t>
            </w:r>
            <w:r>
              <w:rPr>
                <w:rFonts w:hint="eastAsia" w:ascii="宋体" w:hAnsi="宋体" w:eastAsia="宋体" w:cs="宋体"/>
                <w:sz w:val="24"/>
                <w:szCs w:val="24"/>
                <w:highlight w:val="none"/>
                <w:lang w:val="en-US" w:eastAsia="en-US" w:bidi="ar-SA"/>
              </w:rPr>
              <w:t>。</w:t>
            </w:r>
          </w:p>
        </w:tc>
      </w:tr>
      <w:tr>
        <w:tblPrEx>
          <w:tblCellMar>
            <w:top w:w="0" w:type="dxa"/>
            <w:left w:w="108" w:type="dxa"/>
            <w:bottom w:w="0" w:type="dxa"/>
            <w:right w:w="108" w:type="dxa"/>
          </w:tblCellMar>
        </w:tblPrEx>
        <w:trPr>
          <w:trHeight w:val="557" w:hRule="atLeast"/>
        </w:trPr>
        <w:tc>
          <w:tcPr>
            <w:tcW w:w="1096" w:type="dxa"/>
            <w:tcBorders>
              <w:top w:val="single" w:color="auto" w:sz="4" w:space="0"/>
              <w:left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7.1</w:t>
            </w:r>
          </w:p>
        </w:tc>
        <w:tc>
          <w:tcPr>
            <w:tcW w:w="2649" w:type="dxa"/>
            <w:gridSpan w:val="3"/>
            <w:tcBorders>
              <w:top w:val="single" w:color="auto" w:sz="4" w:space="0"/>
              <w:left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是否授权评标委员会确定中标人</w:t>
            </w:r>
          </w:p>
        </w:tc>
        <w:tc>
          <w:tcPr>
            <w:tcW w:w="6144" w:type="dxa"/>
            <w:tcBorders>
              <w:top w:val="single" w:color="auto" w:sz="4" w:space="0"/>
              <w:left w:val="single" w:color="auto" w:sz="4" w:space="0"/>
              <w:right w:val="single" w:color="auto" w:sz="4" w:space="0"/>
            </w:tcBorders>
            <w:noWrap w:val="0"/>
            <w:vAlign w:val="center"/>
          </w:tcPr>
          <w:p>
            <w:pPr>
              <w:adjustRightInd w:val="0"/>
              <w:spacing w:line="276" w:lineRule="auto"/>
              <w:textAlignment w:val="baseline"/>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否；评标委员会按照得分由高到低的顺序推荐</w:t>
            </w:r>
            <w:r>
              <w:rPr>
                <w:rFonts w:hint="eastAsia" w:ascii="宋体" w:hAnsi="宋体" w:eastAsia="宋体" w:cs="宋体"/>
                <w:sz w:val="24"/>
                <w:szCs w:val="24"/>
                <w:highlight w:val="none"/>
                <w:lang w:val="en-US" w:eastAsia="zh-CN" w:bidi="ar-SA"/>
              </w:rPr>
              <w:t>3</w:t>
            </w:r>
            <w:r>
              <w:rPr>
                <w:rFonts w:hint="eastAsia" w:ascii="宋体" w:hAnsi="宋体" w:eastAsia="宋体" w:cs="宋体"/>
                <w:sz w:val="24"/>
                <w:szCs w:val="24"/>
                <w:highlight w:val="none"/>
                <w:lang w:val="en-US" w:eastAsia="en-US" w:bidi="ar-SA"/>
              </w:rPr>
              <w:t>名中标候选人。</w:t>
            </w:r>
          </w:p>
        </w:tc>
      </w:tr>
      <w:tr>
        <w:tblPrEx>
          <w:tblCellMar>
            <w:top w:w="0" w:type="dxa"/>
            <w:left w:w="108" w:type="dxa"/>
            <w:bottom w:w="0" w:type="dxa"/>
            <w:right w:w="108" w:type="dxa"/>
          </w:tblCellMar>
        </w:tblPrEx>
        <w:trPr>
          <w:trHeight w:val="453"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zh-CN" w:bidi="ar-SA"/>
              </w:rPr>
            </w:pPr>
            <w:r>
              <w:rPr>
                <w:rFonts w:ascii="宋体" w:hAnsi="宋体" w:eastAsia="宋体" w:cs="宋体"/>
                <w:sz w:val="24"/>
                <w:szCs w:val="24"/>
                <w:highlight w:val="none"/>
                <w:lang w:val="en-US" w:eastAsia="en-US" w:bidi="ar-SA"/>
              </w:rPr>
              <w:t>7.3.1</w:t>
            </w:r>
          </w:p>
        </w:tc>
        <w:tc>
          <w:tcPr>
            <w:tcW w:w="264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履约担保</w:t>
            </w:r>
          </w:p>
        </w:tc>
        <w:tc>
          <w:tcPr>
            <w:tcW w:w="614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textAlignment w:val="baseline"/>
              <w:rPr>
                <w:rFonts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自行约定</w:t>
            </w:r>
          </w:p>
        </w:tc>
      </w:tr>
      <w:tr>
        <w:tblPrEx>
          <w:tblCellMar>
            <w:top w:w="0" w:type="dxa"/>
            <w:left w:w="108" w:type="dxa"/>
            <w:bottom w:w="0" w:type="dxa"/>
            <w:right w:w="108" w:type="dxa"/>
          </w:tblCellMar>
        </w:tblPrEx>
        <w:trPr>
          <w:trHeight w:val="453"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7.3.2</w:t>
            </w:r>
          </w:p>
        </w:tc>
        <w:tc>
          <w:tcPr>
            <w:tcW w:w="264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合同付款方式</w:t>
            </w:r>
          </w:p>
        </w:tc>
        <w:tc>
          <w:tcPr>
            <w:tcW w:w="614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textAlignment w:val="baseline"/>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按中牟县财政局相关支付标准执行，具体以合同签订为准；</w:t>
            </w:r>
          </w:p>
        </w:tc>
      </w:tr>
      <w:tr>
        <w:tblPrEx>
          <w:tblCellMar>
            <w:top w:w="0" w:type="dxa"/>
            <w:left w:w="108" w:type="dxa"/>
            <w:bottom w:w="0" w:type="dxa"/>
            <w:right w:w="108" w:type="dxa"/>
          </w:tblCellMar>
        </w:tblPrEx>
        <w:trPr>
          <w:trHeight w:val="453" w:hRule="atLeast"/>
        </w:trPr>
        <w:tc>
          <w:tcPr>
            <w:tcW w:w="109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10</w:t>
            </w:r>
          </w:p>
        </w:tc>
        <w:tc>
          <w:tcPr>
            <w:tcW w:w="879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276" w:lineRule="auto"/>
              <w:jc w:val="center"/>
              <w:textAlignment w:val="baseline"/>
              <w:rPr>
                <w:rFonts w:ascii="宋体" w:hAnsi="宋体" w:eastAsia="宋体" w:cs="宋体"/>
                <w:sz w:val="24"/>
                <w:szCs w:val="24"/>
                <w:highlight w:val="none"/>
                <w:lang w:val="en-US" w:eastAsia="en-US" w:bidi="ar-SA"/>
              </w:rPr>
            </w:pPr>
            <w:r>
              <w:rPr>
                <w:rFonts w:ascii="宋体" w:hAnsi="宋体" w:eastAsia="宋体" w:cs="宋体"/>
                <w:sz w:val="24"/>
                <w:szCs w:val="24"/>
                <w:highlight w:val="none"/>
                <w:lang w:val="en-US" w:eastAsia="en-US" w:bidi="ar-SA"/>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9" w:type="dxa"/>
            <w:gridSpan w:val="5"/>
            <w:noWrap w:val="0"/>
            <w:vAlign w:val="center"/>
          </w:tcPr>
          <w:p>
            <w:pPr>
              <w:spacing w:line="276" w:lineRule="auto"/>
              <w:rPr>
                <w:rFonts w:hint="default" w:ascii="宋体" w:hAnsi="宋体" w:eastAsia="宋体" w:cs="宋体"/>
                <w:sz w:val="24"/>
                <w:szCs w:val="24"/>
                <w:highlight w:val="none"/>
                <w:lang w:val="en-US" w:eastAsia="zh-CN" w:bidi="ar-SA"/>
              </w:rPr>
            </w:pPr>
            <w:r>
              <w:rPr>
                <w:rFonts w:hint="eastAsia" w:ascii="宋体" w:hAnsi="宋体" w:eastAsia="宋体" w:cs="宋体"/>
                <w:b/>
                <w:bCs/>
                <w:sz w:val="24"/>
                <w:szCs w:val="24"/>
                <w:highlight w:val="none"/>
                <w:lang w:val="en-US" w:eastAsia="zh-CN" w:bidi="ar-SA"/>
              </w:rPr>
              <w:t>10.1最高限价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60" w:type="dxa"/>
            <w:gridSpan w:val="2"/>
            <w:noWrap w:val="0"/>
            <w:vAlign w:val="center"/>
          </w:tcPr>
          <w:p>
            <w:pPr>
              <w:adjustRightInd w:val="0"/>
              <w:spacing w:line="276" w:lineRule="auto"/>
              <w:jc w:val="both"/>
              <w:textAlignment w:val="baseline"/>
              <w:rPr>
                <w:rFonts w:ascii="宋体" w:hAnsi="宋体" w:eastAsia="宋体" w:cs="宋体"/>
                <w:sz w:val="24"/>
                <w:szCs w:val="24"/>
                <w:highlight w:val="none"/>
                <w:lang w:val="en-US" w:eastAsia="en-US" w:bidi="ar-SA"/>
              </w:rPr>
            </w:pPr>
          </w:p>
        </w:tc>
        <w:tc>
          <w:tcPr>
            <w:tcW w:w="8729" w:type="dxa"/>
            <w:gridSpan w:val="3"/>
            <w:noWrap w:val="0"/>
            <w:vAlign w:val="center"/>
          </w:tcPr>
          <w:p>
            <w:pPr>
              <w:adjustRightInd w:val="0"/>
              <w:spacing w:line="276" w:lineRule="auto"/>
              <w:jc w:val="both"/>
              <w:textAlignment w:val="baseline"/>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A包（官渡镇党庄村日光温室建设设备及配套设施）：918759.99元；</w:t>
            </w:r>
          </w:p>
          <w:p>
            <w:pPr>
              <w:adjustRightInd w:val="0"/>
              <w:spacing w:line="276" w:lineRule="auto"/>
              <w:jc w:val="both"/>
              <w:textAlignment w:val="baseline"/>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B包(农产品冷藏库建设项目制冷设备及配套设施)：1632586.00元；</w:t>
            </w:r>
          </w:p>
          <w:p>
            <w:pPr>
              <w:adjustRightInd w:val="0"/>
              <w:spacing w:line="276" w:lineRule="auto"/>
              <w:jc w:val="both"/>
              <w:textAlignment w:val="baseline"/>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C包(酱菜腌制加工项目生产设备)：1177000.00元；</w:t>
            </w:r>
          </w:p>
          <w:p>
            <w:pPr>
              <w:adjustRightInd w:val="0"/>
              <w:spacing w:line="276" w:lineRule="auto"/>
              <w:jc w:val="both"/>
              <w:textAlignment w:val="baseline"/>
              <w:rPr>
                <w:rFonts w:hint="default" w:ascii="宋体" w:hAnsi="宋体" w:eastAsia="宋体" w:cs="宋体"/>
                <w:sz w:val="24"/>
                <w:szCs w:val="24"/>
                <w:highlight w:val="none"/>
                <w:lang w:val="en-US" w:eastAsia="zh-CN" w:bidi="ar-SA"/>
              </w:rPr>
            </w:pPr>
            <w:r>
              <w:rPr>
                <w:rFonts w:hint="eastAsia" w:ascii="宋体" w:hAnsi="宋体" w:eastAsia="宋体" w:cs="宋体"/>
                <w:b/>
                <w:bCs/>
                <w:sz w:val="24"/>
                <w:szCs w:val="24"/>
                <w:highlight w:val="none"/>
                <w:lang w:val="en-US" w:eastAsia="zh-CN" w:bidi="ar-SA"/>
              </w:rPr>
              <w:t>各包</w:t>
            </w:r>
            <w:r>
              <w:rPr>
                <w:rFonts w:hint="eastAsia" w:ascii="宋体" w:hAnsi="宋体" w:eastAsia="宋体" w:cs="宋体"/>
                <w:b/>
                <w:bCs/>
                <w:sz w:val="24"/>
                <w:szCs w:val="24"/>
                <w:highlight w:val="none"/>
                <w:lang w:val="en-US" w:eastAsia="en-US" w:bidi="ar-SA"/>
              </w:rPr>
              <w:t>投标报价超过</w:t>
            </w:r>
            <w:r>
              <w:rPr>
                <w:rFonts w:hint="eastAsia" w:ascii="宋体" w:hAnsi="宋体" w:eastAsia="宋体" w:cs="宋体"/>
                <w:b/>
                <w:bCs/>
                <w:sz w:val="24"/>
                <w:szCs w:val="24"/>
                <w:highlight w:val="none"/>
                <w:lang w:val="en-US" w:eastAsia="zh-CN" w:bidi="ar-SA"/>
              </w:rPr>
              <w:t>最高限</w:t>
            </w:r>
            <w:r>
              <w:rPr>
                <w:rFonts w:hint="eastAsia" w:ascii="宋体" w:hAnsi="宋体" w:eastAsia="宋体" w:cs="宋体"/>
                <w:b/>
                <w:bCs/>
                <w:sz w:val="24"/>
                <w:szCs w:val="24"/>
                <w:highlight w:val="none"/>
                <w:lang w:val="en-US" w:eastAsia="en-US" w:bidi="ar-SA"/>
              </w:rPr>
              <w:t>价的为无效投标，其投标文件将被否决。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9889" w:type="dxa"/>
            <w:gridSpan w:val="5"/>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10.</w:t>
            </w:r>
            <w:r>
              <w:rPr>
                <w:rFonts w:hint="eastAsia" w:ascii="宋体" w:hAnsi="宋体" w:eastAsia="宋体" w:cs="宋体"/>
                <w:sz w:val="24"/>
                <w:szCs w:val="24"/>
                <w:highlight w:val="none"/>
                <w:lang w:val="en-US" w:eastAsia="zh-CN" w:bidi="ar-SA"/>
              </w:rPr>
              <w:t>2</w:t>
            </w:r>
            <w:r>
              <w:rPr>
                <w:rFonts w:hint="eastAsia" w:ascii="宋体" w:hAnsi="宋体" w:eastAsia="宋体" w:cs="宋体"/>
                <w:sz w:val="24"/>
                <w:szCs w:val="24"/>
                <w:highlight w:val="none"/>
                <w:lang w:val="en-US" w:eastAsia="en-US" w:bidi="ar-SA"/>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16" w:type="dxa"/>
            <w:gridSpan w:val="3"/>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p>
        </w:tc>
        <w:tc>
          <w:tcPr>
            <w:tcW w:w="8473" w:type="dxa"/>
            <w:gridSpan w:val="2"/>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构成本招标文件各个组成部分的文件，未经</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书面同意，</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不得擅自复印和用于非本招标项目所需的其他目的。</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9889" w:type="dxa"/>
            <w:gridSpan w:val="5"/>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10.</w:t>
            </w:r>
            <w:r>
              <w:rPr>
                <w:rFonts w:hint="eastAsia" w:ascii="宋体" w:hAnsi="宋体" w:eastAsia="宋体" w:cs="宋体"/>
                <w:sz w:val="24"/>
                <w:szCs w:val="24"/>
                <w:highlight w:val="none"/>
                <w:lang w:val="en-US" w:eastAsia="zh-CN" w:bidi="ar-SA"/>
              </w:rPr>
              <w:t>3</w:t>
            </w:r>
            <w:r>
              <w:rPr>
                <w:rFonts w:hint="eastAsia" w:ascii="宋体" w:hAnsi="宋体" w:eastAsia="宋体" w:cs="宋体"/>
                <w:sz w:val="24"/>
                <w:szCs w:val="24"/>
                <w:highlight w:val="none"/>
                <w:lang w:val="en-US" w:eastAsia="en-US" w:bidi="ar-SA"/>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16" w:type="dxa"/>
            <w:gridSpan w:val="3"/>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p>
        </w:tc>
        <w:tc>
          <w:tcPr>
            <w:tcW w:w="8473" w:type="dxa"/>
            <w:gridSpan w:val="2"/>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本项目的招标投标活动及其相关当事人应当接受有管辖权的监督部门依法实施的监督。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889" w:type="dxa"/>
            <w:gridSpan w:val="5"/>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10.</w:t>
            </w:r>
            <w:r>
              <w:rPr>
                <w:rFonts w:hint="eastAsia" w:ascii="宋体" w:hAnsi="宋体" w:eastAsia="宋体" w:cs="宋体"/>
                <w:sz w:val="24"/>
                <w:szCs w:val="24"/>
                <w:highlight w:val="none"/>
                <w:lang w:val="en-US" w:eastAsia="zh-CN" w:bidi="ar-SA"/>
              </w:rPr>
              <w:t>4</w:t>
            </w:r>
            <w:r>
              <w:rPr>
                <w:rFonts w:hint="eastAsia" w:ascii="宋体" w:hAnsi="宋体" w:eastAsia="宋体" w:cs="宋体"/>
                <w:sz w:val="24"/>
                <w:szCs w:val="24"/>
                <w:highlight w:val="none"/>
                <w:lang w:val="en-US" w:eastAsia="en-US" w:bidi="ar-SA"/>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16" w:type="dxa"/>
            <w:gridSpan w:val="3"/>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p>
        </w:tc>
        <w:tc>
          <w:tcPr>
            <w:tcW w:w="8473" w:type="dxa"/>
            <w:gridSpan w:val="2"/>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9889" w:type="dxa"/>
            <w:gridSpan w:val="5"/>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10.</w:t>
            </w:r>
            <w:r>
              <w:rPr>
                <w:rFonts w:hint="eastAsia" w:ascii="宋体" w:hAnsi="宋体" w:eastAsia="宋体" w:cs="宋体"/>
                <w:sz w:val="24"/>
                <w:szCs w:val="24"/>
                <w:highlight w:val="none"/>
                <w:lang w:val="en-US" w:eastAsia="zh-CN" w:bidi="ar-SA"/>
              </w:rPr>
              <w:t>5采购人</w:t>
            </w:r>
            <w:r>
              <w:rPr>
                <w:rFonts w:hint="eastAsia" w:ascii="宋体" w:hAnsi="宋体" w:eastAsia="宋体" w:cs="宋体"/>
                <w:sz w:val="24"/>
                <w:szCs w:val="24"/>
                <w:highlight w:val="none"/>
                <w:lang w:val="en-US" w:eastAsia="en-US" w:bidi="ar-SA"/>
              </w:rPr>
              <w:t>补充的共他内容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6" w:type="dxa"/>
            <w:gridSpan w:val="3"/>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p>
        </w:tc>
        <w:tc>
          <w:tcPr>
            <w:tcW w:w="8473" w:type="dxa"/>
            <w:gridSpan w:val="2"/>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1.</w:t>
            </w:r>
            <w:r>
              <w:rPr>
                <w:rFonts w:ascii="宋体" w:hAnsi="宋体" w:eastAsia="宋体" w:cs="宋体"/>
                <w:sz w:val="24"/>
                <w:szCs w:val="24"/>
                <w:highlight w:val="none"/>
                <w:lang w:val="en-US" w:eastAsia="en-US" w:bidi="ar-SA"/>
              </w:rPr>
              <w:t xml:space="preserve"> </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因参与投标活动而涉及的人身伤害、财产损害、侵犯他人权益、仲裁或诉讼等，应当责任自负、费用自担，并应保证</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和招标代理机构免于承担上述责任或者其他不良影响。</w:t>
            </w:r>
          </w:p>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 xml:space="preserve">2. </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声明招标文件中附带的参考资料是以诚信的态度提供的，是</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现有的和客观的信息。</w:t>
            </w:r>
            <w:r>
              <w:rPr>
                <w:rFonts w:hint="eastAsia" w:ascii="宋体" w:hAnsi="宋体" w:eastAsia="宋体" w:cs="宋体"/>
                <w:sz w:val="24"/>
                <w:szCs w:val="24"/>
                <w:highlight w:val="none"/>
                <w:lang w:val="en-US" w:eastAsia="zh-CN" w:bidi="ar-SA"/>
              </w:rPr>
              <w:t>采购人</w:t>
            </w:r>
            <w:r>
              <w:rPr>
                <w:rFonts w:hint="eastAsia" w:ascii="宋体" w:hAnsi="宋体" w:eastAsia="宋体" w:cs="宋体"/>
                <w:sz w:val="24"/>
                <w:szCs w:val="24"/>
                <w:highlight w:val="none"/>
                <w:lang w:val="en-US" w:eastAsia="en-US" w:bidi="ar-SA"/>
              </w:rPr>
              <w:t>不对</w:t>
            </w:r>
            <w:r>
              <w:rPr>
                <w:rFonts w:hint="eastAsia" w:ascii="宋体" w:hAnsi="宋体" w:eastAsia="宋体" w:cs="宋体"/>
                <w:sz w:val="24"/>
                <w:szCs w:val="24"/>
                <w:highlight w:val="none"/>
                <w:lang w:val="en-US" w:eastAsia="zh-CN" w:bidi="ar-SA"/>
              </w:rPr>
              <w:t>供应商</w:t>
            </w:r>
            <w:r>
              <w:rPr>
                <w:rFonts w:hint="eastAsia" w:ascii="宋体" w:hAnsi="宋体" w:eastAsia="宋体" w:cs="宋体"/>
                <w:sz w:val="24"/>
                <w:szCs w:val="24"/>
                <w:highlight w:val="none"/>
                <w:lang w:val="en-US" w:eastAsia="en-US" w:bidi="ar-SA"/>
              </w:rPr>
              <w:t>由此做出的任何理解、推论、判断、结论和决策进行负责。</w:t>
            </w:r>
          </w:p>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3.招标代理服务费：根据国发改办价格[2011]534号文件执行。</w:t>
            </w:r>
            <w:r>
              <w:rPr>
                <w:rFonts w:ascii="宋体" w:hAnsi="宋体" w:eastAsia="宋体" w:cs="宋体"/>
                <w:sz w:val="24"/>
                <w:szCs w:val="24"/>
                <w:highlight w:val="none"/>
                <w:lang w:val="en-US" w:eastAsia="en-US" w:bidi="ar-SA"/>
              </w:rPr>
              <w:t>由</w:t>
            </w:r>
            <w:r>
              <w:rPr>
                <w:rFonts w:hint="eastAsia" w:ascii="宋体" w:hAnsi="宋体" w:eastAsia="宋体" w:cs="宋体"/>
                <w:sz w:val="24"/>
                <w:szCs w:val="24"/>
                <w:highlight w:val="none"/>
                <w:lang w:val="en-US" w:eastAsia="en-US" w:bidi="ar-SA"/>
              </w:rPr>
              <w:t>中标</w:t>
            </w:r>
            <w:r>
              <w:rPr>
                <w:rFonts w:ascii="宋体" w:hAnsi="宋体" w:eastAsia="宋体" w:cs="宋体"/>
                <w:sz w:val="24"/>
                <w:szCs w:val="24"/>
                <w:highlight w:val="none"/>
                <w:lang w:val="en-US" w:eastAsia="en-US" w:bidi="ar-SA"/>
              </w:rPr>
              <w:t>人</w:t>
            </w:r>
            <w:r>
              <w:rPr>
                <w:rFonts w:hint="eastAsia" w:ascii="宋体" w:hAnsi="宋体" w:eastAsia="宋体" w:cs="宋体"/>
                <w:sz w:val="24"/>
                <w:szCs w:val="24"/>
                <w:highlight w:val="none"/>
                <w:lang w:val="en-US" w:eastAsia="zh-CN" w:bidi="ar-SA"/>
              </w:rPr>
              <w:t>在领取中标通知书时</w:t>
            </w:r>
            <w:r>
              <w:rPr>
                <w:rFonts w:hint="eastAsia" w:ascii="宋体" w:hAnsi="宋体" w:eastAsia="宋体" w:cs="宋体"/>
                <w:sz w:val="24"/>
                <w:szCs w:val="24"/>
                <w:highlight w:val="none"/>
                <w:lang w:val="en-US" w:eastAsia="en-US" w:bidi="ar-SA"/>
              </w:rPr>
              <w:t>向招标代理机构</w:t>
            </w:r>
            <w:r>
              <w:rPr>
                <w:rFonts w:hint="eastAsia" w:ascii="宋体" w:hAnsi="宋体" w:eastAsia="宋体" w:cs="宋体"/>
                <w:sz w:val="24"/>
                <w:szCs w:val="24"/>
                <w:highlight w:val="none"/>
                <w:lang w:val="en-US" w:eastAsia="zh-CN" w:bidi="ar-SA"/>
              </w:rPr>
              <w:t>一次性</w:t>
            </w:r>
            <w:r>
              <w:rPr>
                <w:rFonts w:ascii="宋体" w:hAnsi="宋体" w:eastAsia="宋体" w:cs="宋体"/>
                <w:sz w:val="24"/>
                <w:szCs w:val="24"/>
                <w:highlight w:val="none"/>
                <w:lang w:val="en-US" w:eastAsia="en-US" w:bidi="ar-SA"/>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6" w:type="dxa"/>
            <w:gridSpan w:val="3"/>
            <w:noWrap w:val="0"/>
            <w:vAlign w:val="center"/>
          </w:tcPr>
          <w:p>
            <w:pPr>
              <w:adjustRightInd w:val="0"/>
              <w:spacing w:line="276" w:lineRule="auto"/>
              <w:jc w:val="center"/>
              <w:textAlignment w:val="baseline"/>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10.6</w:t>
            </w:r>
          </w:p>
        </w:tc>
        <w:tc>
          <w:tcPr>
            <w:tcW w:w="8473" w:type="dxa"/>
            <w:gridSpan w:val="2"/>
            <w:noWrap w:val="0"/>
            <w:vAlign w:val="center"/>
          </w:tcPr>
          <w:p>
            <w:pPr>
              <w:adjustRightInd w:val="0"/>
              <w:spacing w:line="276" w:lineRule="auto"/>
              <w:jc w:val="center"/>
              <w:textAlignment w:val="baseline"/>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lang w:val="en-US" w:eastAsia="en-US" w:bidi="ar-SA"/>
              </w:rPr>
              <w:t>未尽事宜，按国家有关规定执行。</w:t>
            </w:r>
          </w:p>
        </w:tc>
      </w:tr>
    </w:tbl>
    <w:p>
      <w:pPr>
        <w:adjustRightInd w:val="0"/>
        <w:spacing w:line="276" w:lineRule="auto"/>
        <w:jc w:val="center"/>
        <w:textAlignment w:val="baseline"/>
        <w:rPr>
          <w:rFonts w:ascii="宋体" w:hAnsi="宋体" w:eastAsia="宋体" w:cs="宋体"/>
          <w:sz w:val="24"/>
          <w:szCs w:val="24"/>
          <w:highlight w:val="none"/>
          <w:lang w:val="en-US" w:eastAsia="en-US" w:bidi="ar-SA"/>
        </w:rPr>
      </w:pPr>
    </w:p>
    <w:p>
      <w:pPr>
        <w:spacing w:after="0" w:line="276" w:lineRule="auto"/>
        <w:jc w:val="both"/>
        <w:rPr>
          <w:rFonts w:ascii="宋体" w:hAnsi="宋体" w:eastAsia="宋体" w:cs="宋体"/>
          <w:sz w:val="24"/>
          <w:szCs w:val="24"/>
          <w:highlight w:val="none"/>
        </w:rPr>
        <w:sectPr>
          <w:footerReference r:id="rId14" w:type="default"/>
          <w:pgSz w:w="11910" w:h="16840"/>
          <w:pgMar w:top="1040" w:right="940" w:bottom="1060" w:left="820" w:header="878" w:footer="872" w:gutter="0"/>
          <w:pgBorders>
            <w:top w:val="none" w:sz="0" w:space="0"/>
            <w:left w:val="none" w:sz="0" w:space="0"/>
            <w:bottom w:val="none" w:sz="0" w:space="0"/>
            <w:right w:val="none" w:sz="0" w:space="0"/>
          </w:pgBorders>
          <w:pgNumType w:fmt="decimal"/>
          <w:cols w:space="720" w:num="1"/>
        </w:sectPr>
      </w:pPr>
    </w:p>
    <w:p>
      <w:pPr>
        <w:spacing w:before="9" w:line="240" w:lineRule="auto"/>
        <w:rPr>
          <w:rFonts w:ascii="Times New Roman" w:hAnsi="Times New Roman" w:eastAsia="Times New Roman" w:cs="Times New Roman"/>
          <w:sz w:val="5"/>
          <w:szCs w:val="5"/>
          <w:highlight w:val="none"/>
        </w:rPr>
      </w:pPr>
    </w:p>
    <w:p>
      <w:pPr>
        <w:spacing w:after="0" w:line="360" w:lineRule="exact"/>
        <w:jc w:val="both"/>
        <w:rPr>
          <w:rFonts w:ascii="宋体" w:hAnsi="宋体" w:eastAsia="宋体" w:cs="宋体"/>
          <w:sz w:val="28"/>
          <w:szCs w:val="28"/>
          <w:highlight w:val="none"/>
        </w:rPr>
      </w:pPr>
    </w:p>
    <w:p>
      <w:pPr>
        <w:pStyle w:val="4"/>
        <w:spacing w:line="399" w:lineRule="exact"/>
        <w:ind w:left="0" w:leftChars="0" w:right="0" w:firstLine="0" w:firstLineChars="0"/>
        <w:jc w:val="center"/>
        <w:rPr>
          <w:rFonts w:ascii="微软雅黑" w:hAnsi="微软雅黑" w:eastAsia="微软雅黑" w:cs="微软雅黑"/>
          <w:highlight w:val="none"/>
        </w:rPr>
      </w:pPr>
      <w:r>
        <w:rPr>
          <w:rFonts w:ascii="微软雅黑" w:hAnsi="微软雅黑" w:eastAsia="微软雅黑" w:cs="微软雅黑"/>
          <w:highlight w:val="none"/>
        </w:rPr>
        <w:t>河南省政府采购合同融资政策告知函</w:t>
      </w:r>
    </w:p>
    <w:p>
      <w:pPr>
        <w:spacing w:before="0" w:line="240" w:lineRule="auto"/>
        <w:rPr>
          <w:rFonts w:ascii="微软雅黑" w:hAnsi="微软雅黑" w:eastAsia="微软雅黑" w:cs="微软雅黑"/>
          <w:sz w:val="20"/>
          <w:szCs w:val="20"/>
          <w:highlight w:val="none"/>
        </w:rPr>
      </w:pPr>
    </w:p>
    <w:p>
      <w:pPr>
        <w:spacing w:before="0" w:line="240" w:lineRule="auto"/>
        <w:rPr>
          <w:rFonts w:ascii="微软雅黑" w:hAnsi="微软雅黑" w:eastAsia="微软雅黑" w:cs="微软雅黑"/>
          <w:sz w:val="20"/>
          <w:szCs w:val="20"/>
          <w:highlight w:val="none"/>
        </w:rPr>
      </w:pPr>
    </w:p>
    <w:p>
      <w:pPr>
        <w:spacing w:before="8" w:line="240" w:lineRule="auto"/>
        <w:rPr>
          <w:rFonts w:ascii="微软雅黑" w:hAnsi="微软雅黑" w:eastAsia="微软雅黑" w:cs="微软雅黑"/>
          <w:sz w:val="19"/>
          <w:szCs w:val="19"/>
          <w:highlight w:val="none"/>
        </w:rPr>
      </w:pPr>
    </w:p>
    <w:p>
      <w:pPr>
        <w:pStyle w:val="6"/>
        <w:spacing w:before="26" w:line="240" w:lineRule="auto"/>
        <w:ind w:left="740" w:right="0"/>
        <w:jc w:val="left"/>
        <w:rPr>
          <w:highlight w:val="none"/>
        </w:rPr>
      </w:pPr>
      <w:r>
        <w:rPr>
          <w:highlight w:val="none"/>
        </w:rPr>
        <w:t>各供应商：</w:t>
      </w:r>
    </w:p>
    <w:p>
      <w:pPr>
        <w:spacing w:before="5" w:line="240" w:lineRule="auto"/>
        <w:rPr>
          <w:rFonts w:ascii="宋体" w:hAnsi="宋体" w:eastAsia="宋体" w:cs="宋体"/>
          <w:sz w:val="33"/>
          <w:szCs w:val="33"/>
          <w:highlight w:val="none"/>
        </w:rPr>
      </w:pPr>
    </w:p>
    <w:p>
      <w:pPr>
        <w:pStyle w:val="6"/>
        <w:spacing w:before="0" w:line="240" w:lineRule="auto"/>
        <w:ind w:left="1340" w:right="0"/>
        <w:jc w:val="left"/>
        <w:rPr>
          <w:highlight w:val="none"/>
        </w:rPr>
      </w:pPr>
      <w:r>
        <w:rPr>
          <w:highlight w:val="none"/>
        </w:rPr>
        <w:t>欢迎贵公司参与河南省政府采购活动！</w:t>
      </w:r>
    </w:p>
    <w:p>
      <w:pPr>
        <w:spacing w:before="0" w:line="240" w:lineRule="auto"/>
        <w:rPr>
          <w:rFonts w:ascii="宋体" w:hAnsi="宋体" w:eastAsia="宋体" w:cs="宋体"/>
          <w:sz w:val="24"/>
          <w:szCs w:val="24"/>
          <w:highlight w:val="none"/>
        </w:rPr>
      </w:pPr>
    </w:p>
    <w:p>
      <w:pPr>
        <w:spacing w:before="9" w:line="240" w:lineRule="auto"/>
        <w:rPr>
          <w:rFonts w:ascii="宋体" w:hAnsi="宋体" w:eastAsia="宋体" w:cs="宋体"/>
          <w:sz w:val="21"/>
          <w:szCs w:val="21"/>
          <w:highlight w:val="none"/>
        </w:rPr>
      </w:pPr>
    </w:p>
    <w:p>
      <w:pPr>
        <w:pStyle w:val="6"/>
        <w:spacing w:before="0" w:line="484" w:lineRule="auto"/>
        <w:ind w:left="260" w:right="250" w:firstLine="1080"/>
        <w:jc w:val="both"/>
        <w:rPr>
          <w:highlight w:val="none"/>
        </w:rPr>
      </w:pPr>
      <w:r>
        <w:rPr>
          <w:highlight w:val="none"/>
        </w:rPr>
        <w:t xml:space="preserve">政府采购合同融资是河南省财政厅支持中小微企业发展，针对参与政府采购活动 </w:t>
      </w:r>
      <w:r>
        <w:rPr>
          <w:spacing w:val="-3"/>
          <w:highlight w:val="none"/>
        </w:rPr>
        <w:t>的供应商融资难、融资贵问题推出的一项融资政策。贵公司若成为本次政府采购项目的中标</w:t>
      </w:r>
      <w:r>
        <w:rPr>
          <w:spacing w:val="-88"/>
          <w:highlight w:val="none"/>
        </w:rPr>
        <w:t xml:space="preserve"> </w:t>
      </w:r>
      <w:r>
        <w:rPr>
          <w:spacing w:val="-9"/>
          <w:highlight w:val="none"/>
        </w:rPr>
        <w:t>成交供应商，可持政府采购合同向金融机构申请贷款，无需抵押、担保，融资机构将根据《河</w:t>
      </w:r>
      <w:r>
        <w:rPr>
          <w:spacing w:val="-81"/>
          <w:highlight w:val="none"/>
        </w:rPr>
        <w:t xml:space="preserve"> </w:t>
      </w:r>
      <w:r>
        <w:rPr>
          <w:highlight w:val="none"/>
        </w:rPr>
        <w:t>南省政府采购合同融资工作实施方案》（豫财[2017]10</w:t>
      </w:r>
      <w:r>
        <w:rPr>
          <w:spacing w:val="23"/>
          <w:highlight w:val="none"/>
        </w:rPr>
        <w:t xml:space="preserve"> </w:t>
      </w:r>
      <w:r>
        <w:rPr>
          <w:highlight w:val="none"/>
        </w:rPr>
        <w:t>号），按照双方自愿的原则提供便</w:t>
      </w:r>
      <w:r>
        <w:rPr>
          <w:spacing w:val="-118"/>
          <w:highlight w:val="none"/>
        </w:rPr>
        <w:t xml:space="preserve"> </w:t>
      </w:r>
      <w:r>
        <w:rPr>
          <w:highlight w:val="none"/>
        </w:rPr>
        <w:t>捷、优惠的贷款服务。</w:t>
      </w:r>
    </w:p>
    <w:p>
      <w:pPr>
        <w:spacing w:before="0" w:line="240" w:lineRule="auto"/>
        <w:rPr>
          <w:rFonts w:ascii="宋体" w:hAnsi="宋体" w:eastAsia="宋体" w:cs="宋体"/>
          <w:sz w:val="24"/>
          <w:szCs w:val="24"/>
          <w:highlight w:val="none"/>
        </w:rPr>
      </w:pPr>
    </w:p>
    <w:p>
      <w:pPr>
        <w:pStyle w:val="6"/>
        <w:spacing w:before="202" w:line="484" w:lineRule="auto"/>
        <w:ind w:left="260" w:right="0" w:firstLine="960"/>
        <w:jc w:val="left"/>
        <w:rPr>
          <w:highlight w:val="none"/>
        </w:rPr>
      </w:pPr>
      <w:r>
        <w:rPr>
          <w:spacing w:val="-3"/>
          <w:highlight w:val="none"/>
        </w:rPr>
        <w:t>贷款渠道和提供贷款的金融机构，可在河南省政府采购网“河南省政府采购合同融</w:t>
      </w:r>
      <w:r>
        <w:rPr>
          <w:highlight w:val="none"/>
        </w:rPr>
        <w:t xml:space="preserve"> 资平台”查询联系。</w:t>
      </w:r>
    </w:p>
    <w:p>
      <w:pPr>
        <w:spacing w:after="0" w:line="484" w:lineRule="auto"/>
        <w:jc w:val="left"/>
        <w:rPr>
          <w:highlight w:val="none"/>
        </w:rPr>
        <w:sectPr>
          <w:pgSz w:w="11910" w:h="16840"/>
          <w:pgMar w:top="1040" w:right="1000" w:bottom="1060" w:left="880" w:header="878" w:footer="872" w:gutter="0"/>
          <w:pgBorders>
            <w:top w:val="none" w:sz="0" w:space="0"/>
            <w:left w:val="none" w:sz="0" w:space="0"/>
            <w:bottom w:val="none" w:sz="0" w:space="0"/>
            <w:right w:val="none" w:sz="0" w:space="0"/>
          </w:pgBorders>
          <w:pgNumType w:fmt="decimal"/>
          <w:cols w:space="720" w:num="1"/>
        </w:sectPr>
      </w:pPr>
    </w:p>
    <w:p>
      <w:pPr>
        <w:pStyle w:val="6"/>
        <w:spacing w:before="97" w:line="240" w:lineRule="auto"/>
        <w:ind w:right="0"/>
        <w:jc w:val="left"/>
        <w:rPr>
          <w:highlight w:val="none"/>
        </w:rPr>
      </w:pPr>
      <w:bookmarkStart w:id="18" w:name="_bookmark2"/>
      <w:bookmarkEnd w:id="18"/>
      <w:bookmarkStart w:id="19" w:name="1 ．总则"/>
      <w:bookmarkEnd w:id="19"/>
      <w:r>
        <w:rPr>
          <w:highlight w:val="none"/>
        </w:rPr>
        <w:t>1 ．总则</w:t>
      </w:r>
    </w:p>
    <w:p>
      <w:pPr>
        <w:spacing w:before="9" w:line="240" w:lineRule="auto"/>
        <w:rPr>
          <w:rFonts w:ascii="宋体" w:hAnsi="宋体" w:eastAsia="宋体" w:cs="宋体"/>
          <w:sz w:val="25"/>
          <w:szCs w:val="25"/>
          <w:highlight w:val="none"/>
        </w:rPr>
      </w:pPr>
    </w:p>
    <w:p>
      <w:pPr>
        <w:pStyle w:val="6"/>
        <w:spacing w:before="0" w:line="240" w:lineRule="auto"/>
        <w:ind w:right="0"/>
        <w:jc w:val="left"/>
        <w:rPr>
          <w:highlight w:val="none"/>
        </w:rPr>
      </w:pPr>
      <w:bookmarkStart w:id="20" w:name="1.1 项目概况"/>
      <w:bookmarkEnd w:id="20"/>
      <w:r>
        <w:rPr>
          <w:highlight w:val="none"/>
        </w:rPr>
        <w:t>1.1 项目概况</w:t>
      </w:r>
    </w:p>
    <w:p>
      <w:pPr>
        <w:pStyle w:val="6"/>
        <w:spacing w:line="357" w:lineRule="auto"/>
        <w:ind w:right="0" w:firstLine="480"/>
        <w:jc w:val="left"/>
        <w:rPr>
          <w:highlight w:val="none"/>
        </w:rPr>
      </w:pPr>
      <w:r>
        <w:rPr>
          <w:highlight w:val="none"/>
        </w:rPr>
        <w:t>1.1.1 根据《中华人民共和国政府采购法》</w:t>
      </w:r>
      <w:r>
        <w:rPr>
          <w:spacing w:val="24"/>
          <w:highlight w:val="none"/>
        </w:rPr>
        <w:t xml:space="preserve"> </w:t>
      </w:r>
      <w:r>
        <w:rPr>
          <w:highlight w:val="none"/>
        </w:rPr>
        <w:t>等有关法律、法规和规章的规定，本招标项 目己具备招标条件，现对本标段进行招标。</w:t>
      </w:r>
    </w:p>
    <w:p>
      <w:pPr>
        <w:pStyle w:val="6"/>
        <w:spacing w:before="36" w:line="240" w:lineRule="auto"/>
        <w:ind w:left="620" w:right="0"/>
        <w:jc w:val="left"/>
        <w:rPr>
          <w:highlight w:val="none"/>
        </w:rPr>
      </w:pPr>
      <w:r>
        <w:rPr>
          <w:highlight w:val="none"/>
        </w:rPr>
        <w:t>1.1.2 本招标项目采购人：见供应商须知前附表。</w:t>
      </w:r>
    </w:p>
    <w:p>
      <w:pPr>
        <w:pStyle w:val="6"/>
        <w:spacing w:line="240" w:lineRule="auto"/>
        <w:ind w:left="620" w:right="0"/>
        <w:jc w:val="left"/>
        <w:rPr>
          <w:highlight w:val="none"/>
        </w:rPr>
      </w:pPr>
      <w:r>
        <w:rPr>
          <w:highlight w:val="none"/>
        </w:rPr>
        <w:t>1.1.3 本标段采购代理机构：见供应商须知前附表。</w:t>
      </w:r>
    </w:p>
    <w:p>
      <w:pPr>
        <w:pStyle w:val="6"/>
        <w:spacing w:line="240" w:lineRule="auto"/>
        <w:ind w:left="620" w:right="0"/>
        <w:jc w:val="left"/>
        <w:rPr>
          <w:highlight w:val="none"/>
        </w:rPr>
      </w:pPr>
      <w:r>
        <w:rPr>
          <w:highlight w:val="none"/>
        </w:rPr>
        <w:t>1.1.4 本招标项目名称：见供应商须知前附表。</w:t>
      </w:r>
    </w:p>
    <w:p>
      <w:pPr>
        <w:pStyle w:val="6"/>
        <w:spacing w:line="240" w:lineRule="auto"/>
        <w:ind w:left="620" w:right="0"/>
        <w:jc w:val="left"/>
        <w:rPr>
          <w:highlight w:val="none"/>
        </w:rPr>
      </w:pPr>
      <w:r>
        <w:rPr>
          <w:highlight w:val="none"/>
        </w:rPr>
        <w:t>1.1.5 本项目实施地点：见供应商须知前附表。</w:t>
      </w:r>
    </w:p>
    <w:p>
      <w:pPr>
        <w:pStyle w:val="6"/>
        <w:spacing w:line="240" w:lineRule="auto"/>
        <w:ind w:right="0"/>
        <w:jc w:val="left"/>
        <w:rPr>
          <w:highlight w:val="none"/>
        </w:rPr>
      </w:pPr>
      <w:bookmarkStart w:id="21" w:name="1.2 资金来源和落实情况"/>
      <w:bookmarkEnd w:id="21"/>
      <w:r>
        <w:rPr>
          <w:highlight w:val="none"/>
        </w:rPr>
        <w:t>1.2 资金来源和落实情况</w:t>
      </w:r>
    </w:p>
    <w:p>
      <w:pPr>
        <w:pStyle w:val="6"/>
        <w:spacing w:line="240" w:lineRule="auto"/>
        <w:ind w:left="620" w:right="0"/>
        <w:jc w:val="left"/>
        <w:rPr>
          <w:highlight w:val="none"/>
        </w:rPr>
      </w:pPr>
      <w:r>
        <w:rPr>
          <w:highlight w:val="none"/>
        </w:rPr>
        <w:t>1.2.1 本招标项目的资金来源：见供应商须知前附表。</w:t>
      </w:r>
    </w:p>
    <w:p>
      <w:pPr>
        <w:pStyle w:val="6"/>
        <w:spacing w:line="240" w:lineRule="auto"/>
        <w:ind w:left="620" w:right="0"/>
        <w:jc w:val="left"/>
        <w:rPr>
          <w:highlight w:val="none"/>
        </w:rPr>
      </w:pPr>
      <w:r>
        <w:rPr>
          <w:highlight w:val="none"/>
        </w:rPr>
        <w:t>1.2.2 本招标项目的出资比例：见供应商须知前附表。</w:t>
      </w:r>
    </w:p>
    <w:p>
      <w:pPr>
        <w:pStyle w:val="6"/>
        <w:spacing w:line="240" w:lineRule="auto"/>
        <w:ind w:left="620" w:right="0"/>
        <w:jc w:val="left"/>
        <w:rPr>
          <w:highlight w:val="none"/>
        </w:rPr>
      </w:pPr>
      <w:r>
        <w:rPr>
          <w:highlight w:val="none"/>
        </w:rPr>
        <w:t>1.2.3 本招标项目的资金落实情况：见供应商须知前附表。</w:t>
      </w:r>
    </w:p>
    <w:p>
      <w:pPr>
        <w:pStyle w:val="6"/>
        <w:spacing w:line="240" w:lineRule="auto"/>
        <w:ind w:right="0"/>
        <w:jc w:val="left"/>
        <w:rPr>
          <w:highlight w:val="none"/>
        </w:rPr>
      </w:pPr>
      <w:bookmarkStart w:id="22" w:name="1.3 招标内容、交货及安装期及质量要求"/>
      <w:bookmarkEnd w:id="22"/>
      <w:r>
        <w:rPr>
          <w:highlight w:val="none"/>
        </w:rPr>
        <w:t>1.3 招标内容、交货及安装期及质量要求</w:t>
      </w:r>
    </w:p>
    <w:p>
      <w:pPr>
        <w:pStyle w:val="6"/>
        <w:spacing w:line="240" w:lineRule="auto"/>
        <w:ind w:left="620" w:right="0"/>
        <w:jc w:val="left"/>
        <w:rPr>
          <w:highlight w:val="none"/>
        </w:rPr>
      </w:pPr>
      <w:r>
        <w:rPr>
          <w:highlight w:val="none"/>
        </w:rPr>
        <w:t>1.3.1 本次招标内容：见供应商须知前附表。</w:t>
      </w:r>
    </w:p>
    <w:p>
      <w:pPr>
        <w:pStyle w:val="6"/>
        <w:spacing w:line="240" w:lineRule="auto"/>
        <w:ind w:left="620" w:right="0"/>
        <w:jc w:val="left"/>
        <w:rPr>
          <w:highlight w:val="none"/>
        </w:rPr>
      </w:pPr>
      <w:r>
        <w:rPr>
          <w:highlight w:val="none"/>
        </w:rPr>
        <w:t>1.3.2 本项目的质量要求：见供应商须知前附表。</w:t>
      </w:r>
    </w:p>
    <w:p>
      <w:pPr>
        <w:pStyle w:val="6"/>
        <w:spacing w:line="240" w:lineRule="auto"/>
        <w:ind w:left="620" w:right="0"/>
        <w:jc w:val="left"/>
        <w:rPr>
          <w:highlight w:val="none"/>
        </w:rPr>
      </w:pPr>
      <w:r>
        <w:rPr>
          <w:highlight w:val="none"/>
        </w:rPr>
        <w:t>1.3.3 本项目的交货及安装期：见供应商须知前附表。</w:t>
      </w:r>
    </w:p>
    <w:p>
      <w:pPr>
        <w:pStyle w:val="6"/>
        <w:spacing w:line="240" w:lineRule="auto"/>
        <w:ind w:right="0"/>
        <w:jc w:val="left"/>
        <w:rPr>
          <w:highlight w:val="none"/>
        </w:rPr>
      </w:pPr>
      <w:bookmarkStart w:id="23" w:name="1.4 供应商资格要求"/>
      <w:bookmarkEnd w:id="23"/>
      <w:r>
        <w:rPr>
          <w:highlight w:val="none"/>
        </w:rPr>
        <w:t>1.4 供应商资格要求</w:t>
      </w:r>
    </w:p>
    <w:p>
      <w:pPr>
        <w:pStyle w:val="6"/>
        <w:spacing w:line="357" w:lineRule="auto"/>
        <w:ind w:left="620" w:right="4206"/>
        <w:jc w:val="left"/>
        <w:rPr>
          <w:highlight w:val="none"/>
        </w:rPr>
      </w:pPr>
      <w:r>
        <w:rPr>
          <w:highlight w:val="none"/>
        </w:rPr>
        <w:t>1.4.1 供应商应具备承担本项目的资格条件。 (l）资格条件：见供应商须知前附表。</w:t>
      </w:r>
    </w:p>
    <w:p>
      <w:pPr>
        <w:pStyle w:val="6"/>
        <w:spacing w:before="36" w:line="240" w:lineRule="auto"/>
        <w:ind w:left="620" w:right="0"/>
        <w:jc w:val="left"/>
        <w:rPr>
          <w:highlight w:val="none"/>
        </w:rPr>
      </w:pPr>
      <w:r>
        <w:rPr>
          <w:highlight w:val="none"/>
        </w:rPr>
        <w:t>1.4.2 本项目不接受联合体投标。</w:t>
      </w:r>
    </w:p>
    <w:p>
      <w:pPr>
        <w:pStyle w:val="6"/>
        <w:spacing w:line="357" w:lineRule="auto"/>
        <w:ind w:left="620" w:right="3426"/>
        <w:jc w:val="left"/>
        <w:rPr>
          <w:highlight w:val="none"/>
        </w:rPr>
      </w:pPr>
      <w:r>
        <w:rPr>
          <w:highlight w:val="none"/>
        </w:rPr>
        <w:t xml:space="preserve">1.4.3 供应商不得存在下列情形之一： </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720" w:firstLineChars="300"/>
        <w:jc w:val="left"/>
        <w:textAlignment w:val="auto"/>
        <w:rPr>
          <w:rFonts w:hint="eastAsia"/>
          <w:highlight w:val="none"/>
          <w:lang w:eastAsia="zh-CN"/>
        </w:rPr>
      </w:pPr>
      <w:r>
        <w:rPr>
          <w:highlight w:val="none"/>
        </w:rPr>
        <w:t>(l）为采购人不具有独立法人资格的附属机构（单位）</w:t>
      </w:r>
      <w:r>
        <w:rPr>
          <w:rFonts w:hint="eastAsia"/>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720" w:firstLineChars="300"/>
        <w:jc w:val="left"/>
        <w:textAlignment w:val="auto"/>
        <w:rPr>
          <w:highlight w:val="none"/>
        </w:rPr>
      </w:pPr>
      <w:r>
        <w:rPr>
          <w:highlight w:val="none"/>
        </w:rPr>
        <w:t xml:space="preserve">(2）为本项目提供代理机构服务的； </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720" w:firstLineChars="300"/>
        <w:jc w:val="left"/>
        <w:textAlignment w:val="auto"/>
        <w:rPr>
          <w:highlight w:val="none"/>
        </w:rPr>
      </w:pPr>
      <w:r>
        <w:rPr>
          <w:highlight w:val="none"/>
        </w:rPr>
        <w:t>(3）被责令停业的；</w:t>
      </w:r>
    </w:p>
    <w:p>
      <w:pPr>
        <w:pStyle w:val="6"/>
        <w:spacing w:before="36" w:line="357" w:lineRule="auto"/>
        <w:ind w:right="4206" w:firstLine="480" w:firstLineChars="200"/>
        <w:jc w:val="left"/>
        <w:rPr>
          <w:highlight w:val="none"/>
        </w:rPr>
      </w:pPr>
      <w:r>
        <w:rPr>
          <w:highlight w:val="none"/>
        </w:rPr>
        <w:t>(4）被暂停或取消投标资格的；</w:t>
      </w:r>
    </w:p>
    <w:p>
      <w:pPr>
        <w:pStyle w:val="6"/>
        <w:spacing w:before="36" w:line="357" w:lineRule="auto"/>
        <w:ind w:left="620" w:right="4206"/>
        <w:jc w:val="left"/>
        <w:rPr>
          <w:highlight w:val="none"/>
        </w:rPr>
      </w:pPr>
      <w:r>
        <w:rPr>
          <w:highlight w:val="none"/>
        </w:rPr>
        <w:t xml:space="preserve">(5）财产被接管或冻结的； </w:t>
      </w:r>
    </w:p>
    <w:p>
      <w:pPr>
        <w:pStyle w:val="6"/>
        <w:spacing w:before="36" w:line="357" w:lineRule="auto"/>
        <w:ind w:left="620" w:right="4206"/>
        <w:jc w:val="left"/>
        <w:rPr>
          <w:highlight w:val="none"/>
        </w:rPr>
      </w:pPr>
      <w:r>
        <w:rPr>
          <w:highlight w:val="none"/>
        </w:rPr>
        <w:t>(6）在最近三年内有骗取中标或严重违约的。</w:t>
      </w:r>
    </w:p>
    <w:p>
      <w:pPr>
        <w:pStyle w:val="6"/>
        <w:spacing w:before="36" w:line="240" w:lineRule="auto"/>
        <w:ind w:right="0"/>
        <w:jc w:val="left"/>
        <w:rPr>
          <w:highlight w:val="none"/>
        </w:rPr>
      </w:pPr>
      <w:bookmarkStart w:id="24" w:name="1.5 费用承担"/>
      <w:bookmarkEnd w:id="24"/>
      <w:r>
        <w:rPr>
          <w:highlight w:val="none"/>
        </w:rPr>
        <w:t>1.5 费用承担</w:t>
      </w:r>
    </w:p>
    <w:p>
      <w:pPr>
        <w:pStyle w:val="6"/>
        <w:spacing w:line="240" w:lineRule="auto"/>
        <w:ind w:left="620" w:right="0"/>
        <w:jc w:val="left"/>
        <w:rPr>
          <w:highlight w:val="none"/>
        </w:rPr>
        <w:sectPr>
          <w:pgSz w:w="11910" w:h="16840"/>
          <w:pgMar w:top="1040" w:right="1000" w:bottom="1060" w:left="880" w:header="878" w:footer="872" w:gutter="0"/>
          <w:pgBorders>
            <w:top w:val="none" w:sz="0" w:space="0"/>
            <w:left w:val="none" w:sz="0" w:space="0"/>
            <w:bottom w:val="none" w:sz="0" w:space="0"/>
            <w:right w:val="none" w:sz="0" w:space="0"/>
          </w:pgBorders>
          <w:pgNumType w:fmt="decimal"/>
          <w:cols w:space="720" w:num="1"/>
        </w:sectPr>
      </w:pPr>
      <w:r>
        <w:rPr>
          <w:highlight w:val="none"/>
        </w:rPr>
        <w:t>供应商准备和参加投标活动发生的费用自理。</w:t>
      </w:r>
    </w:p>
    <w:p>
      <w:pPr>
        <w:spacing w:before="9" w:line="240" w:lineRule="auto"/>
        <w:rPr>
          <w:rFonts w:ascii="宋体" w:hAnsi="宋体" w:eastAsia="宋体" w:cs="宋体"/>
          <w:sz w:val="5"/>
          <w:szCs w:val="5"/>
          <w:highlight w:val="none"/>
        </w:rPr>
      </w:pPr>
    </w:p>
    <w:p>
      <w:pPr>
        <w:spacing w:line="57" w:lineRule="exact"/>
        <w:ind w:left="111" w:right="0" w:firstLine="0"/>
        <w:rPr>
          <w:rFonts w:ascii="宋体" w:hAnsi="宋体" w:eastAsia="宋体" w:cs="宋体"/>
          <w:sz w:val="5"/>
          <w:szCs w:val="5"/>
          <w:highlight w:val="none"/>
        </w:rPr>
      </w:pPr>
    </w:p>
    <w:p>
      <w:pPr>
        <w:pStyle w:val="6"/>
        <w:spacing w:before="45" w:line="240" w:lineRule="auto"/>
        <w:ind w:right="6"/>
        <w:jc w:val="left"/>
        <w:rPr>
          <w:highlight w:val="none"/>
        </w:rPr>
      </w:pPr>
      <w:bookmarkStart w:id="25" w:name="1.6 保密"/>
      <w:bookmarkEnd w:id="25"/>
      <w:r>
        <w:rPr>
          <w:highlight w:val="none"/>
        </w:rPr>
        <w:t>1.6 保密</w:t>
      </w:r>
    </w:p>
    <w:p>
      <w:pPr>
        <w:pStyle w:val="6"/>
        <w:spacing w:line="357" w:lineRule="auto"/>
        <w:ind w:right="6" w:firstLine="480"/>
        <w:jc w:val="left"/>
        <w:rPr>
          <w:highlight w:val="none"/>
        </w:rPr>
      </w:pPr>
      <w:r>
        <w:rPr>
          <w:spacing w:val="-3"/>
          <w:highlight w:val="none"/>
        </w:rPr>
        <w:t>参与招标投标活动的各方应对招标文件和投标文件中的商业和技术等秘密保密，违者应对</w:t>
      </w:r>
      <w:r>
        <w:rPr>
          <w:highlight w:val="none"/>
        </w:rPr>
        <w:t xml:space="preserve"> 由此造成的后果承担法律责任。</w:t>
      </w:r>
    </w:p>
    <w:p>
      <w:pPr>
        <w:pStyle w:val="6"/>
        <w:spacing w:before="36" w:line="240" w:lineRule="auto"/>
        <w:ind w:right="6"/>
        <w:jc w:val="left"/>
        <w:rPr>
          <w:highlight w:val="none"/>
        </w:rPr>
      </w:pPr>
      <w:bookmarkStart w:id="26" w:name="1.7 语言文字"/>
      <w:bookmarkEnd w:id="26"/>
      <w:r>
        <w:rPr>
          <w:highlight w:val="none"/>
        </w:rPr>
        <w:t>1.7 语言文字</w:t>
      </w:r>
    </w:p>
    <w:p>
      <w:pPr>
        <w:pStyle w:val="6"/>
        <w:spacing w:line="357" w:lineRule="auto"/>
        <w:ind w:right="6" w:firstLine="480"/>
        <w:jc w:val="left"/>
        <w:rPr>
          <w:highlight w:val="none"/>
        </w:rPr>
      </w:pPr>
      <w:r>
        <w:rPr>
          <w:highlight w:val="none"/>
        </w:rPr>
        <w:t xml:space="preserve">除专用术语外，与招标投标有关的语言均使用中文。必要时专用术语应附有中文注释。 </w:t>
      </w:r>
      <w:bookmarkStart w:id="27" w:name="1.8 计量单位"/>
      <w:bookmarkEnd w:id="27"/>
      <w:r>
        <w:rPr>
          <w:highlight w:val="none"/>
        </w:rPr>
        <w:t>1.8 计量单位</w:t>
      </w:r>
    </w:p>
    <w:p>
      <w:pPr>
        <w:pStyle w:val="6"/>
        <w:spacing w:before="36" w:line="357" w:lineRule="auto"/>
        <w:ind w:right="4086" w:firstLine="480"/>
        <w:jc w:val="left"/>
        <w:rPr>
          <w:highlight w:val="none"/>
        </w:rPr>
      </w:pPr>
      <w:r>
        <w:rPr>
          <w:highlight w:val="none"/>
        </w:rPr>
        <w:t xml:space="preserve">所有计量均采用中华人民共和国法定计量单位。 </w:t>
      </w:r>
      <w:bookmarkStart w:id="28" w:name="1.9 踏勘现场"/>
      <w:bookmarkEnd w:id="28"/>
      <w:r>
        <w:rPr>
          <w:highlight w:val="none"/>
        </w:rPr>
        <w:t>1.9 踏勘现场</w:t>
      </w:r>
    </w:p>
    <w:p>
      <w:pPr>
        <w:pStyle w:val="6"/>
        <w:spacing w:before="36" w:line="357" w:lineRule="auto"/>
        <w:ind w:right="6" w:firstLine="480"/>
        <w:jc w:val="left"/>
        <w:rPr>
          <w:highlight w:val="none"/>
        </w:rPr>
      </w:pPr>
      <w:r>
        <w:rPr>
          <w:highlight w:val="none"/>
        </w:rPr>
        <w:t>1.9.1 供应商须知前附表规定组织踏勘现场的，采购人按供应商须知前附表规定的时间、 地点组织供应商踏勘项目现场。</w:t>
      </w:r>
    </w:p>
    <w:p>
      <w:pPr>
        <w:pStyle w:val="6"/>
        <w:spacing w:before="36" w:line="240" w:lineRule="auto"/>
        <w:ind w:left="620" w:right="6"/>
        <w:jc w:val="left"/>
        <w:rPr>
          <w:highlight w:val="none"/>
        </w:rPr>
      </w:pPr>
      <w:r>
        <w:rPr>
          <w:highlight w:val="none"/>
        </w:rPr>
        <w:t>1.9.2 供应商踏勘现场发生的费用自理。</w:t>
      </w:r>
    </w:p>
    <w:p>
      <w:pPr>
        <w:pStyle w:val="6"/>
        <w:spacing w:line="240" w:lineRule="auto"/>
        <w:ind w:left="620" w:right="6"/>
        <w:jc w:val="left"/>
        <w:rPr>
          <w:highlight w:val="none"/>
        </w:rPr>
      </w:pPr>
      <w:r>
        <w:rPr>
          <w:highlight w:val="none"/>
        </w:rPr>
        <w:t>1.9.3 除采购人的原因外，供应商自行负责在踏勘现场中所发生的人员伤亡和财产损失。</w:t>
      </w:r>
    </w:p>
    <w:p>
      <w:pPr>
        <w:pStyle w:val="6"/>
        <w:spacing w:line="357" w:lineRule="auto"/>
        <w:ind w:right="6" w:firstLine="480"/>
        <w:jc w:val="left"/>
        <w:rPr>
          <w:highlight w:val="none"/>
        </w:rPr>
      </w:pPr>
      <w:r>
        <w:rPr>
          <w:highlight w:val="none"/>
        </w:rPr>
        <w:t>1.9.4</w:t>
      </w:r>
      <w:r>
        <w:rPr>
          <w:spacing w:val="17"/>
          <w:highlight w:val="none"/>
        </w:rPr>
        <w:t xml:space="preserve"> </w:t>
      </w:r>
      <w:r>
        <w:rPr>
          <w:spacing w:val="-3"/>
          <w:highlight w:val="none"/>
        </w:rPr>
        <w:t>采购人在踏勘现场中介绍的项目场地和相关的周边环境情况，供供应商在编制投标</w:t>
      </w:r>
      <w:r>
        <w:rPr>
          <w:highlight w:val="none"/>
        </w:rPr>
        <w:t xml:space="preserve"> 文件时参考，采购人不对供应商据此作出的判断和决策负责。</w:t>
      </w:r>
    </w:p>
    <w:p>
      <w:pPr>
        <w:pStyle w:val="6"/>
        <w:spacing w:before="36" w:line="240" w:lineRule="auto"/>
        <w:ind w:right="6"/>
        <w:jc w:val="left"/>
        <w:rPr>
          <w:highlight w:val="none"/>
        </w:rPr>
      </w:pPr>
      <w:bookmarkStart w:id="29" w:name="1.10 投标预备会"/>
      <w:bookmarkEnd w:id="29"/>
      <w:r>
        <w:rPr>
          <w:highlight w:val="none"/>
        </w:rPr>
        <w:t>1.10 投标预备会</w:t>
      </w:r>
    </w:p>
    <w:p>
      <w:pPr>
        <w:pStyle w:val="6"/>
        <w:spacing w:line="357" w:lineRule="auto"/>
        <w:ind w:right="6" w:firstLine="480"/>
        <w:jc w:val="left"/>
        <w:rPr>
          <w:highlight w:val="none"/>
        </w:rPr>
      </w:pPr>
      <w:r>
        <w:rPr>
          <w:highlight w:val="none"/>
        </w:rPr>
        <w:t>1.10.1</w:t>
      </w:r>
      <w:r>
        <w:rPr>
          <w:spacing w:val="23"/>
          <w:highlight w:val="none"/>
        </w:rPr>
        <w:t xml:space="preserve"> </w:t>
      </w:r>
      <w:r>
        <w:rPr>
          <w:highlight w:val="none"/>
        </w:rPr>
        <w:t>供应商须知前附表规定召开投标预备会的，采购人按供应商须知前附表规定的时 间和地点召开投标预备会，澄清供应商提出的问题。</w:t>
      </w:r>
    </w:p>
    <w:p>
      <w:pPr>
        <w:pStyle w:val="6"/>
        <w:spacing w:before="36" w:line="357" w:lineRule="auto"/>
        <w:ind w:right="6" w:firstLine="480"/>
        <w:jc w:val="left"/>
        <w:rPr>
          <w:highlight w:val="none"/>
        </w:rPr>
      </w:pPr>
      <w:r>
        <w:rPr>
          <w:highlight w:val="none"/>
        </w:rPr>
        <w:t>1.10.2</w:t>
      </w:r>
      <w:r>
        <w:rPr>
          <w:spacing w:val="23"/>
          <w:highlight w:val="none"/>
        </w:rPr>
        <w:t xml:space="preserve"> </w:t>
      </w:r>
      <w:r>
        <w:rPr>
          <w:highlight w:val="none"/>
        </w:rPr>
        <w:t>供应商应在供应商须知前附表规定的时间前，以书面形式将提出的问题送达采购 人，以便采购人在会议期间澄清。</w:t>
      </w:r>
    </w:p>
    <w:p>
      <w:pPr>
        <w:pStyle w:val="6"/>
        <w:spacing w:before="36" w:line="357" w:lineRule="auto"/>
        <w:ind w:right="6" w:firstLine="480"/>
        <w:jc w:val="left"/>
        <w:rPr>
          <w:highlight w:val="none"/>
        </w:rPr>
      </w:pPr>
      <w:r>
        <w:rPr>
          <w:highlight w:val="none"/>
        </w:rPr>
        <w:t>1.10.3</w:t>
      </w:r>
      <w:r>
        <w:rPr>
          <w:spacing w:val="23"/>
          <w:highlight w:val="none"/>
        </w:rPr>
        <w:t xml:space="preserve"> </w:t>
      </w:r>
      <w:r>
        <w:rPr>
          <w:highlight w:val="none"/>
        </w:rPr>
        <w:t>投标预备会后，采购人在供应商须知前附表规定的时间内，将对供应商所提问题 的澄清，以书面方式通知所有购买招标文件的供应商。该澄清内容为招标文件的组成部分。</w:t>
      </w:r>
    </w:p>
    <w:p>
      <w:pPr>
        <w:pStyle w:val="6"/>
        <w:spacing w:before="36" w:line="240" w:lineRule="auto"/>
        <w:ind w:right="6"/>
        <w:jc w:val="left"/>
        <w:rPr>
          <w:highlight w:val="none"/>
        </w:rPr>
      </w:pPr>
      <w:bookmarkStart w:id="30" w:name="1.11 分包"/>
      <w:bookmarkEnd w:id="30"/>
      <w:r>
        <w:rPr>
          <w:highlight w:val="none"/>
        </w:rPr>
        <w:t>1.11 分包</w:t>
      </w:r>
    </w:p>
    <w:p>
      <w:pPr>
        <w:pStyle w:val="6"/>
        <w:spacing w:line="240" w:lineRule="auto"/>
        <w:ind w:left="620" w:right="6"/>
        <w:jc w:val="left"/>
        <w:rPr>
          <w:highlight w:val="none"/>
        </w:rPr>
      </w:pPr>
      <w:r>
        <w:rPr>
          <w:highlight w:val="none"/>
        </w:rPr>
        <w:t>不允许</w:t>
      </w:r>
    </w:p>
    <w:p>
      <w:pPr>
        <w:pStyle w:val="6"/>
        <w:spacing w:line="240" w:lineRule="auto"/>
        <w:ind w:right="6"/>
        <w:jc w:val="left"/>
        <w:rPr>
          <w:highlight w:val="none"/>
        </w:rPr>
      </w:pPr>
      <w:bookmarkStart w:id="31" w:name="1.12 偏离"/>
      <w:bookmarkEnd w:id="31"/>
      <w:r>
        <w:rPr>
          <w:highlight w:val="none"/>
        </w:rPr>
        <w:t>1.12 偏离</w:t>
      </w:r>
    </w:p>
    <w:p>
      <w:pPr>
        <w:pStyle w:val="6"/>
        <w:spacing w:line="357" w:lineRule="auto"/>
        <w:ind w:right="6" w:firstLine="480"/>
        <w:jc w:val="left"/>
        <w:rPr>
          <w:highlight w:val="none"/>
        </w:rPr>
      </w:pPr>
      <w:r>
        <w:rPr>
          <w:spacing w:val="-3"/>
          <w:highlight w:val="none"/>
        </w:rPr>
        <w:t>供应商须知前附表允许投标文件偏离招标文件某些要求的，偏离应当符合招标文件规定的</w:t>
      </w:r>
      <w:r>
        <w:rPr>
          <w:highlight w:val="none"/>
        </w:rPr>
        <w:t xml:space="preserve"> 偏离范围和幅度。</w:t>
      </w:r>
    </w:p>
    <w:p>
      <w:pPr>
        <w:pStyle w:val="6"/>
        <w:spacing w:line="357" w:lineRule="auto"/>
        <w:ind w:right="6"/>
        <w:jc w:val="left"/>
        <w:rPr>
          <w:rFonts w:hint="eastAsia"/>
          <w:highlight w:val="none"/>
          <w:lang w:val="en-US" w:eastAsia="zh-CN"/>
        </w:rPr>
      </w:pPr>
      <w:r>
        <w:rPr>
          <w:rFonts w:hint="eastAsia"/>
          <w:highlight w:val="none"/>
          <w:lang w:val="en-US" w:eastAsia="zh-CN"/>
        </w:rPr>
        <w:t>1.13 其它说明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bCs w:val="0"/>
          <w:highlight w:val="none"/>
        </w:rPr>
      </w:pPr>
      <w:r>
        <w:rPr>
          <w:rFonts w:hint="eastAsia"/>
          <w:highlight w:val="none"/>
          <w:lang w:val="en-US" w:eastAsia="zh-CN"/>
        </w:rPr>
        <w:t xml:space="preserve">         </w:t>
      </w:r>
      <w:r>
        <w:rPr>
          <w:rFonts w:hint="eastAsia" w:ascii="宋体" w:hAnsi="宋体" w:eastAsia="宋体" w:cstheme="minorBidi"/>
          <w:spacing w:val="-3"/>
          <w:sz w:val="24"/>
          <w:szCs w:val="24"/>
          <w:highlight w:val="none"/>
          <w:lang w:val="en-US" w:eastAsia="zh-CN" w:bidi="ar-SA"/>
        </w:rPr>
        <w:t xml:space="preserve">   </w:t>
      </w:r>
      <w:r>
        <w:rPr>
          <w:rFonts w:hint="eastAsia" w:ascii="宋体" w:hAnsi="宋体" w:eastAsia="宋体" w:cstheme="minorBidi"/>
          <w:spacing w:val="-3"/>
          <w:sz w:val="24"/>
          <w:szCs w:val="24"/>
          <w:highlight w:val="none"/>
          <w:lang w:val="en-US" w:eastAsia="en-US" w:bidi="ar-SA"/>
        </w:rPr>
        <w:t>招标文件的技术要求中</w:t>
      </w:r>
      <w:r>
        <w:rPr>
          <w:rFonts w:hint="eastAsia" w:ascii="宋体" w:hAnsi="宋体" w:eastAsia="宋体" w:cstheme="minorBidi"/>
          <w:spacing w:val="-3"/>
          <w:sz w:val="24"/>
          <w:szCs w:val="24"/>
          <w:highlight w:val="none"/>
          <w:lang w:val="en-US" w:eastAsia="zh-CN" w:bidi="ar-SA"/>
        </w:rPr>
        <w:t>若</w:t>
      </w:r>
      <w:r>
        <w:rPr>
          <w:rFonts w:hint="eastAsia" w:ascii="宋体" w:hAnsi="宋体" w:eastAsia="宋体" w:cstheme="minorBidi"/>
          <w:spacing w:val="-3"/>
          <w:sz w:val="24"/>
          <w:szCs w:val="24"/>
          <w:highlight w:val="none"/>
          <w:lang w:val="en-US" w:eastAsia="en-US" w:bidi="ar-SA"/>
        </w:rPr>
        <w:t>提到</w:t>
      </w:r>
      <w:r>
        <w:rPr>
          <w:rFonts w:ascii="宋体" w:hAnsi="宋体" w:eastAsia="宋体" w:cstheme="minorBidi"/>
          <w:spacing w:val="-3"/>
          <w:sz w:val="24"/>
          <w:szCs w:val="24"/>
          <w:highlight w:val="none"/>
          <w:lang w:val="en-US" w:eastAsia="en-US" w:bidi="ar-SA"/>
        </w:rPr>
        <w:t>的产品品牌或型号</w:t>
      </w:r>
      <w:r>
        <w:rPr>
          <w:rFonts w:hint="eastAsia" w:ascii="宋体" w:hAnsi="宋体" w:eastAsia="宋体" w:cstheme="minorBidi"/>
          <w:spacing w:val="-3"/>
          <w:sz w:val="24"/>
          <w:szCs w:val="24"/>
          <w:highlight w:val="none"/>
          <w:lang w:val="en-US" w:eastAsia="en-US" w:bidi="ar-SA"/>
        </w:rPr>
        <w:t>仅起说明作用，</w:t>
      </w:r>
      <w:r>
        <w:rPr>
          <w:rFonts w:ascii="宋体" w:hAnsi="宋体" w:eastAsia="宋体" w:cstheme="minorBidi"/>
          <w:spacing w:val="-3"/>
          <w:sz w:val="24"/>
          <w:szCs w:val="24"/>
          <w:highlight w:val="none"/>
          <w:lang w:val="en-US" w:eastAsia="en-US" w:bidi="ar-SA"/>
        </w:rPr>
        <w:t>均为建议性要求或为档次选择要求</w:t>
      </w:r>
      <w:r>
        <w:rPr>
          <w:rFonts w:hint="eastAsia" w:ascii="宋体" w:hAnsi="宋体" w:eastAsia="宋体" w:cstheme="minorBidi"/>
          <w:spacing w:val="-3"/>
          <w:sz w:val="24"/>
          <w:szCs w:val="24"/>
          <w:highlight w:val="none"/>
          <w:lang w:val="en-US" w:eastAsia="en-US" w:bidi="ar-SA"/>
        </w:rPr>
        <w:t>，并没有任何限制性，供应商在投标中可以选用替代品牌或型号，但这些替代要实质上满足或优于招标文件的要求。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p>
    <w:p>
      <w:pPr>
        <w:spacing w:before="9" w:line="240" w:lineRule="auto"/>
        <w:rPr>
          <w:rFonts w:ascii="宋体" w:hAnsi="宋体" w:eastAsia="宋体" w:cs="宋体"/>
          <w:sz w:val="16"/>
          <w:szCs w:val="16"/>
          <w:highlight w:val="none"/>
        </w:rPr>
      </w:pPr>
    </w:p>
    <w:p>
      <w:pPr>
        <w:pStyle w:val="6"/>
        <w:spacing w:before="0" w:line="240" w:lineRule="auto"/>
        <w:ind w:right="6"/>
        <w:jc w:val="left"/>
        <w:rPr>
          <w:highlight w:val="none"/>
        </w:rPr>
      </w:pPr>
      <w:bookmarkStart w:id="32" w:name="2．招标文件"/>
      <w:bookmarkEnd w:id="32"/>
      <w:bookmarkStart w:id="33" w:name="_bookmark3"/>
      <w:bookmarkEnd w:id="33"/>
      <w:r>
        <w:rPr>
          <w:highlight w:val="none"/>
        </w:rPr>
        <w:t>2．招标文件</w:t>
      </w:r>
    </w:p>
    <w:p>
      <w:pPr>
        <w:spacing w:before="7" w:line="240" w:lineRule="auto"/>
        <w:rPr>
          <w:rFonts w:ascii="宋体" w:hAnsi="宋体" w:eastAsia="宋体" w:cs="宋体"/>
          <w:sz w:val="25"/>
          <w:szCs w:val="25"/>
          <w:highlight w:val="none"/>
        </w:rPr>
      </w:pPr>
    </w:p>
    <w:p>
      <w:pPr>
        <w:pStyle w:val="6"/>
        <w:spacing w:before="0" w:line="357" w:lineRule="auto"/>
        <w:ind w:left="620" w:right="6126" w:hanging="480"/>
        <w:jc w:val="left"/>
        <w:rPr>
          <w:highlight w:val="none"/>
        </w:rPr>
      </w:pPr>
      <w:bookmarkStart w:id="34" w:name="2.1 招标文件的组成"/>
      <w:bookmarkEnd w:id="34"/>
      <w:r>
        <w:rPr>
          <w:highlight w:val="none"/>
        </w:rPr>
        <w:t xml:space="preserve">2.1 招标文件的组成 </w:t>
      </w:r>
    </w:p>
    <w:p>
      <w:pPr>
        <w:pStyle w:val="6"/>
        <w:spacing w:before="0" w:line="357" w:lineRule="auto"/>
        <w:ind w:left="620" w:right="6126" w:hanging="480"/>
        <w:jc w:val="left"/>
        <w:rPr>
          <w:highlight w:val="none"/>
        </w:rPr>
      </w:pPr>
      <w:r>
        <w:rPr>
          <w:highlight w:val="none"/>
        </w:rPr>
        <w:t xml:space="preserve">本招标文件包括： </w:t>
      </w:r>
    </w:p>
    <w:p>
      <w:pPr>
        <w:pStyle w:val="6"/>
        <w:spacing w:before="0" w:line="357" w:lineRule="auto"/>
        <w:ind w:left="0" w:leftChars="0" w:right="6126" w:firstLine="240" w:firstLineChars="100"/>
        <w:jc w:val="left"/>
        <w:rPr>
          <w:rFonts w:ascii="宋体" w:hAnsi="宋体" w:eastAsia="宋体" w:cs="宋体"/>
          <w:sz w:val="5"/>
          <w:szCs w:val="5"/>
          <w:highlight w:val="none"/>
        </w:rPr>
      </w:pPr>
      <w:r>
        <w:rPr>
          <w:highlight w:val="none"/>
        </w:rPr>
        <w:t>(1）招标公告</w:t>
      </w:r>
      <w:r>
        <w:rPr>
          <w:rFonts w:hint="eastAsia"/>
          <w:highlight w:val="none"/>
          <w:lang w:eastAsia="zh-CN"/>
        </w:rPr>
        <w:t>；</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220" w:leftChars="0" w:right="0" w:firstLineChars="0"/>
        <w:jc w:val="both"/>
        <w:textAlignment w:val="auto"/>
        <w:rPr>
          <w:highlight w:val="none"/>
        </w:rPr>
      </w:pPr>
      <w:r>
        <w:rPr>
          <w:highlight w:val="none"/>
        </w:rPr>
        <w:t xml:space="preserve">供应商须知；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220" w:leftChars="0" w:right="0" w:rightChars="0" w:firstLine="0" w:firstLineChars="0"/>
        <w:jc w:val="both"/>
        <w:textAlignment w:val="auto"/>
        <w:rPr>
          <w:highlight w:val="none"/>
        </w:rPr>
      </w:pPr>
      <w:r>
        <w:rPr>
          <w:highlight w:val="none"/>
        </w:rPr>
        <w:t xml:space="preserve">评标办法；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220" w:leftChars="0" w:right="0" w:rightChars="0" w:firstLine="0" w:firstLineChars="0"/>
        <w:jc w:val="both"/>
        <w:textAlignment w:val="auto"/>
        <w:rPr>
          <w:highlight w:val="none"/>
        </w:rPr>
      </w:pPr>
      <w:r>
        <w:rPr>
          <w:highlight w:val="none"/>
        </w:rPr>
        <w:t xml:space="preserve">合同条款及格式；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220" w:leftChars="0" w:right="0" w:rightChars="0" w:firstLine="0" w:firstLineChars="0"/>
        <w:jc w:val="both"/>
        <w:textAlignment w:val="auto"/>
        <w:rPr>
          <w:highlight w:val="none"/>
        </w:rPr>
      </w:pPr>
      <w:r>
        <w:rPr>
          <w:rFonts w:hint="eastAsia"/>
          <w:highlight w:val="none"/>
          <w:lang w:eastAsia="zh-CN"/>
        </w:rPr>
        <w:t>采购清单及</w:t>
      </w:r>
      <w:r>
        <w:rPr>
          <w:highlight w:val="none"/>
        </w:rPr>
        <w:t>技术参数</w:t>
      </w:r>
      <w:r>
        <w:rPr>
          <w:rFonts w:hint="eastAsia"/>
          <w:highlight w:val="none"/>
          <w:lang w:eastAsia="zh-CN"/>
        </w:rPr>
        <w:t>要求；</w:t>
      </w:r>
      <w:r>
        <w:rPr>
          <w:highlight w:val="none"/>
        </w:rPr>
        <w:t xml:space="preserve"> </w:t>
      </w:r>
    </w:p>
    <w:p>
      <w:pPr>
        <w:pStyle w:val="6"/>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220" w:leftChars="0" w:right="0" w:rightChars="0" w:firstLine="0" w:firstLineChars="0"/>
        <w:jc w:val="both"/>
        <w:textAlignment w:val="auto"/>
        <w:rPr>
          <w:highlight w:val="none"/>
        </w:rPr>
      </w:pPr>
      <w:r>
        <w:rPr>
          <w:highlight w:val="none"/>
        </w:rPr>
        <w:t>投标文件格式；</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根据本章第</w:t>
      </w:r>
      <w:r>
        <w:rPr>
          <w:spacing w:val="-56"/>
          <w:highlight w:val="none"/>
        </w:rPr>
        <w:t xml:space="preserve"> </w:t>
      </w:r>
      <w:r>
        <w:rPr>
          <w:highlight w:val="none"/>
        </w:rPr>
        <w:t>2.2</w:t>
      </w:r>
      <w:r>
        <w:rPr>
          <w:spacing w:val="6"/>
          <w:highlight w:val="none"/>
        </w:rPr>
        <w:t xml:space="preserve"> </w:t>
      </w:r>
      <w:r>
        <w:rPr>
          <w:highlight w:val="none"/>
        </w:rPr>
        <w:t>款和第</w:t>
      </w:r>
      <w:r>
        <w:rPr>
          <w:spacing w:val="-54"/>
          <w:highlight w:val="none"/>
        </w:rPr>
        <w:t xml:space="preserve"> </w:t>
      </w:r>
      <w:r>
        <w:rPr>
          <w:highlight w:val="none"/>
        </w:rPr>
        <w:t>2.3</w:t>
      </w:r>
      <w:r>
        <w:rPr>
          <w:spacing w:val="6"/>
          <w:highlight w:val="none"/>
        </w:rPr>
        <w:t xml:space="preserve"> </w:t>
      </w:r>
      <w:r>
        <w:rPr>
          <w:spacing w:val="2"/>
          <w:highlight w:val="none"/>
        </w:rPr>
        <w:t>款对招标文件所作的澄清、修改，构成招标文</w:t>
      </w:r>
      <w:r>
        <w:rPr>
          <w:highlight w:val="none"/>
        </w:rPr>
        <w:t xml:space="preserve"> 件的组成部分。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35" w:name="2.2 招标文件的澄清"/>
      <w:bookmarkEnd w:id="35"/>
      <w:r>
        <w:rPr>
          <w:highlight w:val="none"/>
        </w:rPr>
        <w:t>2.2 招标文件的澄清</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2.2.1</w:t>
      </w:r>
      <w:r>
        <w:rPr>
          <w:spacing w:val="16"/>
          <w:highlight w:val="none"/>
        </w:rPr>
        <w:t xml:space="preserve"> </w:t>
      </w:r>
      <w:r>
        <w:rPr>
          <w:spacing w:val="-3"/>
          <w:highlight w:val="none"/>
        </w:rPr>
        <w:t>供应商应仔细阅读和检查招标文件的全部内容。如发现缺页或附件不全，应及时向</w:t>
      </w:r>
      <w:r>
        <w:rPr>
          <w:highlight w:val="none"/>
        </w:rPr>
        <w:t xml:space="preserve"> </w:t>
      </w:r>
      <w:r>
        <w:rPr>
          <w:spacing w:val="-3"/>
          <w:highlight w:val="none"/>
        </w:rPr>
        <w:t>采购人提出，以便补齐。如有疑问，应在供应商须知前附表规定的时间前要求采购人对招标文</w:t>
      </w:r>
      <w:r>
        <w:rPr>
          <w:spacing w:val="-89"/>
          <w:highlight w:val="none"/>
        </w:rPr>
        <w:t xml:space="preserve"> </w:t>
      </w:r>
      <w:r>
        <w:rPr>
          <w:highlight w:val="none"/>
        </w:rPr>
        <w:t>件予以澄清。</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firstLineChars="200"/>
        <w:jc w:val="both"/>
        <w:textAlignment w:val="auto"/>
        <w:rPr>
          <w:highlight w:val="none"/>
        </w:rPr>
      </w:pPr>
      <w:r>
        <w:rPr>
          <w:highlight w:val="none"/>
        </w:rPr>
        <w:t xml:space="preserve">2.2.2 </w:t>
      </w:r>
      <w:r>
        <w:rPr>
          <w:rFonts w:hint="eastAsia"/>
          <w:highlight w:val="none"/>
        </w:rPr>
        <w:t>招标文件的澄清将在供应商须知前附表规定的投标截止时间15天前，在相关网站发布，供应商自行下载，但不指明澄清问题的来源。如果澄清发出的时间距投标截止时间不足15天，相应延长投标截止时间。</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firstLineChars="200"/>
        <w:jc w:val="both"/>
        <w:textAlignment w:val="auto"/>
        <w:rPr>
          <w:highlight w:val="none"/>
        </w:rPr>
      </w:pPr>
      <w:r>
        <w:rPr>
          <w:highlight w:val="none"/>
        </w:rPr>
        <w:t>2.2.3 供应商确认收到招标文件澄清的时间：详见投标人须知前附表。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36" w:name="2.3 招标文件的修改"/>
      <w:bookmarkEnd w:id="36"/>
      <w:r>
        <w:rPr>
          <w:highlight w:val="none"/>
        </w:rPr>
        <w:t>2.3 招标文件的修改</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2.3.1</w:t>
      </w:r>
      <w:r>
        <w:rPr>
          <w:spacing w:val="-54"/>
          <w:highlight w:val="none"/>
        </w:rPr>
        <w:t xml:space="preserve"> </w:t>
      </w:r>
      <w:r>
        <w:rPr>
          <w:rFonts w:hint="eastAsia"/>
          <w:highlight w:val="none"/>
        </w:rPr>
        <w:t>招标人可以对已发出的招标文件进行必要的修改。修改的内容可能影响投标文件编制的，招标人应当在投标截止时间至少15日前，在相关网站发布，供应商自行下载。不足15日的，招标人应当顺延提交投标文件的截止时间。</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2.3.2</w:t>
      </w:r>
      <w:r>
        <w:rPr>
          <w:spacing w:val="-87"/>
          <w:highlight w:val="none"/>
        </w:rPr>
        <w:t xml:space="preserve"> </w:t>
      </w:r>
      <w:r>
        <w:rPr>
          <w:highlight w:val="none"/>
        </w:rPr>
        <w:t xml:space="preserve">供应商确认收到招标文件修改的时间：采用电子招标投标时，招标文件修改在相关 </w:t>
      </w:r>
      <w:r>
        <w:rPr>
          <w:spacing w:val="-3"/>
          <w:highlight w:val="none"/>
        </w:rPr>
        <w:t>网站发布起，即默认为供应商收到，投标人在提交相应文件截止时间前需自行查看在原公告发</w:t>
      </w:r>
      <w:r>
        <w:rPr>
          <w:spacing w:val="-87"/>
          <w:highlight w:val="none"/>
        </w:rPr>
        <w:t xml:space="preserve"> </w:t>
      </w:r>
      <w:r>
        <w:rPr>
          <w:highlight w:val="none"/>
        </w:rPr>
        <w:t>布媒体上发布的澄清或修改公告，因投标人未及时查看而造成的后果自负；</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rFonts w:ascii="宋体" w:hAnsi="宋体" w:eastAsia="宋体" w:cs="宋体"/>
          <w:sz w:val="25"/>
          <w:szCs w:val="25"/>
          <w:highlight w:val="none"/>
        </w:rPr>
      </w:pPr>
      <w:bookmarkStart w:id="37" w:name="_bookmark4"/>
      <w:bookmarkEnd w:id="37"/>
      <w:bookmarkStart w:id="38" w:name="3．投标文件"/>
      <w:bookmarkEnd w:id="38"/>
      <w:r>
        <w:rPr>
          <w:highlight w:val="none"/>
        </w:rPr>
        <w:t>3．投标文件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39" w:name="3.1 投标文件的组成"/>
      <w:bookmarkEnd w:id="39"/>
      <w:r>
        <w:rPr>
          <w:highlight w:val="none"/>
        </w:rPr>
        <w:t>3.1 投标文件的组成</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r>
        <w:rPr>
          <w:highlight w:val="none"/>
        </w:rPr>
        <w:t>3.1.1 投标文件应包括下列内容：</w:t>
      </w:r>
    </w:p>
    <w:p>
      <w:pPr>
        <w:autoSpaceDE w:val="0"/>
        <w:autoSpaceDN w:val="0"/>
        <w:adjustRightInd w:val="0"/>
        <w:spacing w:line="360" w:lineRule="auto"/>
        <w:ind w:firstLine="616" w:firstLineChars="257"/>
        <w:jc w:val="left"/>
        <w:rPr>
          <w:rFonts w:ascii="宋体" w:hAnsi="宋体" w:eastAsia="宋体" w:cstheme="minorBidi"/>
          <w:sz w:val="24"/>
          <w:szCs w:val="24"/>
          <w:highlight w:val="none"/>
          <w:lang w:val="en-US" w:eastAsia="en-US" w:bidi="ar-SA"/>
        </w:rPr>
      </w:pPr>
      <w:bookmarkStart w:id="40" w:name="3.2 投标报价"/>
      <w:bookmarkEnd w:id="40"/>
      <w:r>
        <w:rPr>
          <w:rFonts w:hint="eastAsia" w:ascii="宋体" w:hAnsi="宋体" w:eastAsia="宋体" w:cstheme="minorBidi"/>
          <w:sz w:val="24"/>
          <w:szCs w:val="24"/>
          <w:highlight w:val="none"/>
          <w:lang w:val="en-US" w:eastAsia="en-US" w:bidi="ar-SA"/>
        </w:rPr>
        <w:t>一、投标函及</w:t>
      </w:r>
      <w:r>
        <w:rPr>
          <w:rFonts w:hint="eastAsia" w:ascii="宋体" w:hAnsi="宋体" w:eastAsia="宋体" w:cstheme="minorBidi"/>
          <w:sz w:val="24"/>
          <w:szCs w:val="24"/>
          <w:highlight w:val="none"/>
          <w:lang w:val="en-US" w:eastAsia="zh-CN" w:bidi="ar-SA"/>
        </w:rPr>
        <w:t>投标函附录</w:t>
      </w:r>
      <w:r>
        <w:rPr>
          <w:rFonts w:hint="eastAsia" w:ascii="宋体" w:hAnsi="宋体" w:eastAsia="宋体" w:cstheme="minorBidi"/>
          <w:sz w:val="24"/>
          <w:szCs w:val="24"/>
          <w:highlight w:val="none"/>
          <w:lang w:val="en-US" w:eastAsia="en-US" w:bidi="ar-SA"/>
        </w:rPr>
        <w:t>；</w:t>
      </w:r>
    </w:p>
    <w:p>
      <w:pPr>
        <w:autoSpaceDE w:val="0"/>
        <w:autoSpaceDN w:val="0"/>
        <w:adjustRightInd w:val="0"/>
        <w:spacing w:line="360" w:lineRule="auto"/>
        <w:ind w:firstLine="616" w:firstLineChars="257"/>
        <w:jc w:val="left"/>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二、法定代表人身份证明</w:t>
      </w:r>
    </w:p>
    <w:p>
      <w:pPr>
        <w:autoSpaceDE w:val="0"/>
        <w:autoSpaceDN w:val="0"/>
        <w:adjustRightInd w:val="0"/>
        <w:spacing w:line="360" w:lineRule="auto"/>
        <w:ind w:firstLine="616" w:firstLineChars="257"/>
        <w:jc w:val="left"/>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三、授权委托书；</w:t>
      </w:r>
    </w:p>
    <w:p>
      <w:pPr>
        <w:autoSpaceDE w:val="0"/>
        <w:autoSpaceDN w:val="0"/>
        <w:adjustRightInd w:val="0"/>
        <w:spacing w:line="360" w:lineRule="auto"/>
        <w:ind w:firstLine="480" w:firstLineChars="200"/>
        <w:jc w:val="left"/>
        <w:rPr>
          <w:rFonts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 xml:space="preserve"> 四、投标报价明细表；</w:t>
      </w:r>
    </w:p>
    <w:p>
      <w:pPr>
        <w:autoSpaceDE w:val="0"/>
        <w:autoSpaceDN w:val="0"/>
        <w:adjustRightInd w:val="0"/>
        <w:spacing w:line="360" w:lineRule="auto"/>
        <w:ind w:firstLine="616" w:firstLineChars="257"/>
        <w:jc w:val="left"/>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五、资格审查资料；</w:t>
      </w:r>
    </w:p>
    <w:p>
      <w:pPr>
        <w:adjustRightInd w:val="0"/>
        <w:spacing w:line="360" w:lineRule="auto"/>
        <w:ind w:firstLine="616" w:firstLineChars="257"/>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六、项目实施方案；</w:t>
      </w:r>
    </w:p>
    <w:p>
      <w:pPr>
        <w:adjustRightInd w:val="0"/>
        <w:spacing w:line="360" w:lineRule="auto"/>
        <w:ind w:firstLine="616" w:firstLineChars="257"/>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七、服务方案及承诺；</w:t>
      </w:r>
    </w:p>
    <w:p>
      <w:pPr>
        <w:adjustRightInd w:val="0"/>
        <w:spacing w:line="360" w:lineRule="auto"/>
        <w:ind w:firstLine="616" w:firstLineChars="257"/>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八、技术参数审查表；</w:t>
      </w:r>
    </w:p>
    <w:p>
      <w:pPr>
        <w:adjustRightInd w:val="0"/>
        <w:spacing w:line="360" w:lineRule="auto"/>
        <w:ind w:firstLine="616" w:firstLineChars="257"/>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九、反商业贿赂承诺书；</w:t>
      </w:r>
    </w:p>
    <w:p>
      <w:pPr>
        <w:adjustRightInd w:val="0"/>
        <w:spacing w:line="360" w:lineRule="auto"/>
        <w:ind w:firstLine="616" w:firstLineChars="257"/>
        <w:rPr>
          <w:rFonts w:hint="eastAsia" w:ascii="宋体" w:hAnsi="宋体" w:eastAsia="宋体" w:cstheme="minorBidi"/>
          <w:sz w:val="24"/>
          <w:szCs w:val="24"/>
          <w:highlight w:val="none"/>
          <w:lang w:val="en-US" w:eastAsia="en-US" w:bidi="ar-SA"/>
        </w:rPr>
      </w:pPr>
      <w:r>
        <w:rPr>
          <w:rFonts w:hint="eastAsia" w:ascii="宋体" w:hAnsi="宋体" w:eastAsia="宋体" w:cstheme="minorBidi"/>
          <w:sz w:val="24"/>
          <w:szCs w:val="24"/>
          <w:highlight w:val="none"/>
          <w:lang w:val="en-US" w:eastAsia="en-US" w:bidi="ar-SA"/>
        </w:rPr>
        <w:t>十、其他；</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r>
        <w:rPr>
          <w:highlight w:val="none"/>
        </w:rPr>
        <w:t>3.2 投标报价</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348"/>
        <w:jc w:val="both"/>
        <w:textAlignment w:val="auto"/>
        <w:rPr>
          <w:rFonts w:hint="eastAsia"/>
          <w:spacing w:val="-3"/>
          <w:highlight w:val="none"/>
        </w:rPr>
      </w:pPr>
      <w:r>
        <w:rPr>
          <w:rFonts w:hint="eastAsia"/>
          <w:spacing w:val="-3"/>
          <w:highlight w:val="none"/>
        </w:rPr>
        <w:t>3.2.1 供应商应对本招标文件中要求的相关费用等进行单价及总价报价，本次招标所需货物及服务报价价格包括所有所需人工费、材料费、设备机械费、管理服务费及其他所有费用总和（含税金、售后服务等与完成本项目且达到招标人要求的一切费用）。合同执行中所需数量按实际发生据实结算。</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348"/>
        <w:jc w:val="both"/>
        <w:textAlignment w:val="auto"/>
        <w:rPr>
          <w:rFonts w:hint="eastAsia"/>
          <w:spacing w:val="-3"/>
          <w:highlight w:val="none"/>
        </w:rPr>
      </w:pPr>
      <w:r>
        <w:rPr>
          <w:rFonts w:hint="eastAsia"/>
          <w:spacing w:val="-3"/>
          <w:highlight w:val="none"/>
        </w:rPr>
        <w:t>3.2.2 如有关报价文件中的大写金额和小写金额不一致的，以大写金额为准；总价金额与单价金额不一致的，以单价金额为准，但单价金额小数点有明显错误的除外。</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348"/>
        <w:jc w:val="both"/>
        <w:textAlignment w:val="auto"/>
        <w:rPr>
          <w:rFonts w:hint="eastAsia"/>
          <w:spacing w:val="-3"/>
          <w:highlight w:val="none"/>
        </w:rPr>
      </w:pPr>
      <w:r>
        <w:rPr>
          <w:rFonts w:hint="eastAsia"/>
          <w:spacing w:val="-3"/>
          <w:highlight w:val="none"/>
        </w:rPr>
        <w:t>3.2.3 此项目不保证最低价中标，供应商应充分考虑市场风险和国家政策性风险系数，根据企业具体情况在合理的范围内自主报价，但不得低于企业实际成本否则按废标处理。评标委员会认为某个供应商的投标报价明显不合理或者低于成本，有可能影响商品质量和不能诚信履约的，可要求该供应商在规定的期限内提供书面文件予以解释说明，并提交相关证明材料；否则，评标委员会可以拒绝该供应商的投标。维护招标投标当事人的合法权益，反对不正当竞争；反对恶意低价竞标。</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right="0"/>
        <w:jc w:val="both"/>
        <w:textAlignment w:val="auto"/>
        <w:rPr>
          <w:highlight w:val="none"/>
        </w:rPr>
      </w:pPr>
      <w:bookmarkStart w:id="41" w:name="3.3 投标有效期"/>
      <w:bookmarkEnd w:id="41"/>
      <w:r>
        <w:rPr>
          <w:highlight w:val="none"/>
        </w:rPr>
        <w:t>3.3 投标有效期</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3.3.1</w:t>
      </w:r>
      <w:r>
        <w:rPr>
          <w:spacing w:val="18"/>
          <w:highlight w:val="none"/>
        </w:rPr>
        <w:t xml:space="preserve"> </w:t>
      </w:r>
      <w:r>
        <w:rPr>
          <w:spacing w:val="3"/>
          <w:highlight w:val="none"/>
        </w:rPr>
        <w:t>在供应商须知前附表规定的投标有效期内，供应商不得要求撤销或修改其投标文</w:t>
      </w:r>
      <w:r>
        <w:rPr>
          <w:highlight w:val="none"/>
        </w:rPr>
        <w:t xml:space="preserve"> 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3.3.2</w:t>
      </w:r>
      <w:r>
        <w:rPr>
          <w:spacing w:val="17"/>
          <w:highlight w:val="none"/>
        </w:rPr>
        <w:t xml:space="preserve"> </w:t>
      </w:r>
      <w:r>
        <w:rPr>
          <w:spacing w:val="-3"/>
          <w:highlight w:val="none"/>
        </w:rPr>
        <w:t>出现特殊情况需要延长投标有效期的，采购人以书面形式通知所有供应商延长投标</w:t>
      </w:r>
      <w:r>
        <w:rPr>
          <w:highlight w:val="none"/>
        </w:rPr>
        <w:t xml:space="preserve"> 有效期。</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42" w:name="3.4 投标保证金（本项目不适用）"/>
      <w:bookmarkEnd w:id="42"/>
      <w:r>
        <w:rPr>
          <w:highlight w:val="none"/>
        </w:rPr>
        <w:t>3.4 投标保证金（本项目不适用）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3.4.1</w:t>
      </w:r>
      <w:r>
        <w:rPr>
          <w:spacing w:val="8"/>
          <w:highlight w:val="none"/>
        </w:rPr>
        <w:t xml:space="preserve"> </w:t>
      </w:r>
      <w:r>
        <w:rPr>
          <w:spacing w:val="-3"/>
          <w:highlight w:val="none"/>
        </w:rPr>
        <w:t>供应商在递交投标文件的同时，应按供应商须知前附表规定的金额、担保形式和第</w:t>
      </w:r>
      <w:r>
        <w:rPr>
          <w:spacing w:val="-5"/>
          <w:highlight w:val="none"/>
        </w:rPr>
        <w:t>六章“投标文件格式”规定的投标保证金格式递交投标保证金，并作为其投标文件的组成部分。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firstLineChars="200"/>
        <w:jc w:val="both"/>
        <w:textAlignment w:val="auto"/>
        <w:rPr>
          <w:highlight w:val="none"/>
        </w:rPr>
      </w:pPr>
      <w:r>
        <w:rPr>
          <w:highlight w:val="none"/>
        </w:rPr>
        <w:t>3.4.2 供应商不按本章第 3.4.1</w:t>
      </w:r>
      <w:r>
        <w:rPr>
          <w:spacing w:val="-60"/>
          <w:highlight w:val="none"/>
        </w:rPr>
        <w:t xml:space="preserve"> </w:t>
      </w:r>
      <w:r>
        <w:rPr>
          <w:highlight w:val="none"/>
        </w:rPr>
        <w:t>项要求提交投标保证金的，其投标文件作废标处理。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firstLineChars="200"/>
        <w:jc w:val="both"/>
        <w:textAlignment w:val="auto"/>
        <w:rPr>
          <w:highlight w:val="none"/>
        </w:rPr>
      </w:pPr>
      <w:r>
        <w:rPr>
          <w:highlight w:val="none"/>
        </w:rPr>
        <w:t>3.4.3</w:t>
      </w:r>
      <w:r>
        <w:rPr>
          <w:spacing w:val="9"/>
          <w:highlight w:val="none"/>
        </w:rPr>
        <w:t xml:space="preserve"> </w:t>
      </w:r>
      <w:r>
        <w:rPr>
          <w:highlight w:val="none"/>
        </w:rPr>
        <w:t>发布中标通知书后</w:t>
      </w:r>
      <w:r>
        <w:rPr>
          <w:spacing w:val="-56"/>
          <w:highlight w:val="none"/>
        </w:rPr>
        <w:t xml:space="preserve"> </w:t>
      </w:r>
      <w:r>
        <w:rPr>
          <w:highlight w:val="none"/>
        </w:rPr>
        <w:t>5</w:t>
      </w:r>
      <w:r>
        <w:rPr>
          <w:spacing w:val="-56"/>
          <w:highlight w:val="none"/>
        </w:rPr>
        <w:t xml:space="preserve"> </w:t>
      </w:r>
      <w:r>
        <w:rPr>
          <w:spacing w:val="-4"/>
          <w:highlight w:val="none"/>
        </w:rPr>
        <w:t>日内，向未中标的供应商退还投标保证金。采购人与中标人签</w:t>
      </w:r>
      <w:r>
        <w:rPr>
          <w:highlight w:val="none"/>
        </w:rPr>
        <w:t>订合同后</w:t>
      </w:r>
      <w:r>
        <w:rPr>
          <w:spacing w:val="-60"/>
          <w:highlight w:val="none"/>
        </w:rPr>
        <w:t xml:space="preserve"> </w:t>
      </w:r>
      <w:r>
        <w:rPr>
          <w:highlight w:val="none"/>
        </w:rPr>
        <w:t>5</w:t>
      </w:r>
      <w:r>
        <w:rPr>
          <w:spacing w:val="-60"/>
          <w:highlight w:val="none"/>
        </w:rPr>
        <w:t xml:space="preserve"> </w:t>
      </w:r>
      <w:r>
        <w:rPr>
          <w:highlight w:val="none"/>
        </w:rPr>
        <w:t>日内，向中标人退还投标保证金。</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firstLineChars="200"/>
        <w:jc w:val="both"/>
        <w:textAlignment w:val="auto"/>
        <w:rPr>
          <w:highlight w:val="none"/>
        </w:rPr>
      </w:pPr>
      <w:r>
        <w:rPr>
          <w:highlight w:val="none"/>
        </w:rPr>
        <w:t xml:space="preserve">3.4.4 有下列情形之一的，投标保证金将不予退还： (1）供应商在规定的投标有效期内撤销或修改其投标文件； </w:t>
      </w:r>
      <w:r>
        <w:rPr>
          <w:spacing w:val="-3"/>
          <w:highlight w:val="none"/>
        </w:rPr>
        <w:t>(2）中标人在收到中标通知书后，无正当理由拒签合同协议书或未按招标文件规定提交履</w:t>
      </w:r>
      <w:r>
        <w:rPr>
          <w:highlight w:val="none"/>
        </w:rPr>
        <w:t>约担保。</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43" w:name="3.5 资格审查资料"/>
      <w:bookmarkEnd w:id="43"/>
      <w:r>
        <w:rPr>
          <w:highlight w:val="none"/>
        </w:rPr>
        <w:t>3.5 资格审查资料</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238" w:leftChars="108" w:right="0" w:firstLine="196" w:firstLineChars="82"/>
        <w:jc w:val="both"/>
        <w:textAlignment w:val="auto"/>
        <w:rPr>
          <w:rFonts w:hint="eastAsia" w:ascii="宋体" w:hAnsi="宋体"/>
          <w:szCs w:val="21"/>
          <w:highlight w:val="none"/>
        </w:rPr>
      </w:pPr>
      <w:bookmarkStart w:id="44" w:name="3.6 备选投标方案"/>
      <w:bookmarkEnd w:id="44"/>
      <w:r>
        <w:rPr>
          <w:rFonts w:hint="eastAsia" w:ascii="宋体" w:hAnsi="宋体"/>
          <w:szCs w:val="21"/>
          <w:highlight w:val="none"/>
        </w:rPr>
        <w:t>应附</w:t>
      </w:r>
      <w:r>
        <w:rPr>
          <w:rFonts w:hint="eastAsia" w:ascii="宋体" w:hAnsi="宋体" w:cs="宋体"/>
          <w:kern w:val="0"/>
          <w:szCs w:val="21"/>
          <w:highlight w:val="none"/>
        </w:rPr>
        <w:t>招标公告“</w:t>
      </w:r>
      <w:r>
        <w:rPr>
          <w:rFonts w:hint="eastAsia" w:ascii="宋体" w:hAnsi="宋体" w:cs="宋体"/>
          <w:kern w:val="0"/>
          <w:szCs w:val="21"/>
          <w:highlight w:val="none"/>
          <w:lang w:eastAsia="zh-CN"/>
        </w:rPr>
        <w:t>二</w:t>
      </w:r>
      <w:r>
        <w:rPr>
          <w:rFonts w:hint="eastAsia" w:ascii="宋体" w:hAnsi="宋体" w:cs="宋体"/>
          <w:kern w:val="0"/>
          <w:szCs w:val="21"/>
          <w:highlight w:val="none"/>
        </w:rPr>
        <w:t>、</w:t>
      </w:r>
      <w:r>
        <w:rPr>
          <w:rFonts w:hint="eastAsia" w:ascii="宋体" w:hAnsi="宋体" w:cs="宋体"/>
          <w:kern w:val="0"/>
          <w:szCs w:val="21"/>
          <w:highlight w:val="none"/>
          <w:lang w:eastAsia="zh-CN"/>
        </w:rPr>
        <w:t>申请人的</w:t>
      </w:r>
      <w:r>
        <w:rPr>
          <w:rFonts w:hint="eastAsia" w:ascii="宋体" w:hAnsi="宋体" w:cs="宋体"/>
          <w:kern w:val="0"/>
          <w:szCs w:val="21"/>
          <w:highlight w:val="none"/>
        </w:rPr>
        <w:t>资格要求”要求的所有资格证明材料</w:t>
      </w:r>
      <w:r>
        <w:rPr>
          <w:rFonts w:hint="eastAsia" w:ascii="宋体" w:hAnsi="宋体"/>
          <w:szCs w:val="21"/>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0" w:firstLineChars="0"/>
        <w:jc w:val="both"/>
        <w:textAlignment w:val="auto"/>
        <w:rPr>
          <w:highlight w:val="none"/>
        </w:rPr>
      </w:pPr>
      <w:r>
        <w:rPr>
          <w:highlight w:val="none"/>
        </w:rPr>
        <w:t xml:space="preserve">3.6 备选投标方案 </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238" w:leftChars="108" w:right="0" w:firstLine="423" w:firstLineChars="181"/>
        <w:jc w:val="both"/>
        <w:textAlignment w:val="auto"/>
        <w:rPr>
          <w:highlight w:val="none"/>
        </w:rPr>
      </w:pPr>
      <w:r>
        <w:rPr>
          <w:spacing w:val="-3"/>
          <w:highlight w:val="none"/>
        </w:rPr>
        <w:t>除供应商须知前附表另有规定外，供应商不得递交备选投标方案。允许供应商递交备选投标方案的，只有中标人所递交的备选投标方案方可予以考虑。评标委员会认为中标人的各选投</w:t>
      </w:r>
      <w:r>
        <w:rPr>
          <w:spacing w:val="-87"/>
          <w:highlight w:val="none"/>
        </w:rPr>
        <w:t xml:space="preserve"> </w:t>
      </w:r>
      <w:r>
        <w:rPr>
          <w:highlight w:val="none"/>
        </w:rPr>
        <w:t>标方案优于其按照招标文件要求编制的投标方案的，采购人可以接受该备选投标方案。</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45" w:name="3.7 投标文件的编制"/>
      <w:bookmarkEnd w:id="45"/>
      <w:r>
        <w:rPr>
          <w:highlight w:val="none"/>
        </w:rPr>
        <w:t>3.7 投标文件的编制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3.7.1</w:t>
      </w:r>
      <w:r>
        <w:rPr>
          <w:spacing w:val="17"/>
          <w:highlight w:val="none"/>
        </w:rPr>
        <w:t xml:space="preserve"> </w:t>
      </w:r>
      <w:r>
        <w:rPr>
          <w:spacing w:val="-3"/>
          <w:highlight w:val="none"/>
        </w:rPr>
        <w:t>投标文件应按第六章“投标文件格式”进行编写，如有必要，可以增加附页，作为</w:t>
      </w:r>
      <w:r>
        <w:rPr>
          <w:highlight w:val="none"/>
        </w:rPr>
        <w:t xml:space="preserve"> </w:t>
      </w:r>
      <w:r>
        <w:rPr>
          <w:spacing w:val="-3"/>
          <w:highlight w:val="none"/>
        </w:rPr>
        <w:t>投标文件的组成部分。其中，投标函附录在满足招标文件实质性要求的基础上，可以提出比招</w:t>
      </w:r>
      <w:r>
        <w:rPr>
          <w:spacing w:val="-85"/>
          <w:highlight w:val="none"/>
        </w:rPr>
        <w:t xml:space="preserve"> </w:t>
      </w:r>
      <w:r>
        <w:rPr>
          <w:highlight w:val="none"/>
        </w:rPr>
        <w:t>标文件要求更有利于采购人的承诺。</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3.7.2</w:t>
      </w:r>
      <w:r>
        <w:rPr>
          <w:spacing w:val="16"/>
          <w:highlight w:val="none"/>
        </w:rPr>
        <w:t xml:space="preserve"> </w:t>
      </w:r>
      <w:r>
        <w:rPr>
          <w:spacing w:val="-3"/>
          <w:highlight w:val="none"/>
        </w:rPr>
        <w:t>投标文件应当对招标文件有关服务内容、投标有效期、</w:t>
      </w:r>
      <w:r>
        <w:rPr>
          <w:rFonts w:hint="eastAsia"/>
          <w:spacing w:val="-3"/>
          <w:highlight w:val="none"/>
          <w:lang w:eastAsia="zh-CN"/>
        </w:rPr>
        <w:t>质量</w:t>
      </w:r>
      <w:r>
        <w:rPr>
          <w:spacing w:val="-3"/>
          <w:highlight w:val="none"/>
        </w:rPr>
        <w:t>要求等实质性内容作出</w:t>
      </w:r>
      <w:r>
        <w:rPr>
          <w:highlight w:val="none"/>
        </w:rPr>
        <w:t xml:space="preserve"> 响应。</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3.7.3</w:t>
      </w:r>
      <w:r>
        <w:rPr>
          <w:spacing w:val="-86"/>
          <w:highlight w:val="none"/>
        </w:rPr>
        <w:t xml:space="preserve"> </w:t>
      </w:r>
      <w:r>
        <w:rPr>
          <w:highlight w:val="none"/>
        </w:rPr>
        <w:t xml:space="preserve">投标文件全部采用电子文档，除供应商须知前附表另有规定外，投标文件所附证书 </w:t>
      </w:r>
      <w:r>
        <w:rPr>
          <w:spacing w:val="-3"/>
          <w:highlight w:val="none"/>
        </w:rPr>
        <w:t>证件均为原件扫描件，并采用单位和个人数字证书，按投标文件格式要求在相应位置加盖电子</w:t>
      </w:r>
      <w:r>
        <w:rPr>
          <w:spacing w:val="-87"/>
          <w:highlight w:val="none"/>
        </w:rPr>
        <w:t xml:space="preserve"> </w:t>
      </w:r>
      <w:r>
        <w:rPr>
          <w:spacing w:val="-3"/>
          <w:highlight w:val="none"/>
        </w:rPr>
        <w:t>印章。由供应商的法定代表人签字或加盖电子印章的，应附法定代表人身份证明，由代理人签</w:t>
      </w:r>
      <w:r>
        <w:rPr>
          <w:spacing w:val="-85"/>
          <w:highlight w:val="none"/>
        </w:rPr>
        <w:t xml:space="preserve"> </w:t>
      </w:r>
      <w:r>
        <w:rPr>
          <w:spacing w:val="-3"/>
          <w:highlight w:val="none"/>
        </w:rPr>
        <w:t>字或加盖电子印章的，应附由法定代表人签署的授权委托书。签字或盖章的具体要求见供应商</w:t>
      </w:r>
      <w:r>
        <w:rPr>
          <w:spacing w:val="-87"/>
          <w:highlight w:val="none"/>
        </w:rPr>
        <w:t xml:space="preserve"> </w:t>
      </w:r>
      <w:r>
        <w:rPr>
          <w:highlight w:val="none"/>
        </w:rPr>
        <w:t>须知前附表。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r>
        <w:rPr>
          <w:highlight w:val="none"/>
        </w:rPr>
        <w:t>3.7.4</w:t>
      </w:r>
      <w:r>
        <w:rPr>
          <w:spacing w:val="-60"/>
          <w:highlight w:val="none"/>
        </w:rPr>
        <w:t xml:space="preserve"> </w:t>
      </w:r>
      <w:r>
        <w:rPr>
          <w:highlight w:val="none"/>
        </w:rPr>
        <w:t>投标文件份数及要求：详见投标人须知前附表。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宋体"/>
          <w:sz w:val="19"/>
          <w:szCs w:val="19"/>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46" w:name="_bookmark5"/>
      <w:bookmarkEnd w:id="46"/>
      <w:bookmarkStart w:id="47" w:name="4．投标"/>
      <w:bookmarkEnd w:id="47"/>
      <w:r>
        <w:rPr>
          <w:highlight w:val="none"/>
        </w:rPr>
        <w:t>4．投标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宋体"/>
          <w:sz w:val="25"/>
          <w:szCs w:val="25"/>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48" w:name="4.1 投标文件的密封和标记（不适用）"/>
      <w:bookmarkEnd w:id="48"/>
      <w:r>
        <w:rPr>
          <w:highlight w:val="none"/>
        </w:rPr>
        <w:t>4.1 投标文件的密封和标记（不适用）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4.1.1</w:t>
      </w:r>
      <w:r>
        <w:rPr>
          <w:spacing w:val="16"/>
          <w:highlight w:val="none"/>
        </w:rPr>
        <w:t xml:space="preserve"> </w:t>
      </w:r>
      <w:r>
        <w:rPr>
          <w:spacing w:val="-3"/>
          <w:highlight w:val="none"/>
        </w:rPr>
        <w:t>投标文件的正本与电子文档应分开包装，加贴封条，并在封套的封口处加盖供应商</w:t>
      </w:r>
      <w:r>
        <w:rPr>
          <w:highlight w:val="none"/>
        </w:rPr>
        <w:t xml:space="preserve"> 单位公章。</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4.1.2</w:t>
      </w:r>
      <w:r>
        <w:rPr>
          <w:spacing w:val="18"/>
          <w:highlight w:val="none"/>
        </w:rPr>
        <w:t xml:space="preserve"> </w:t>
      </w:r>
      <w:r>
        <w:rPr>
          <w:spacing w:val="-3"/>
          <w:highlight w:val="none"/>
        </w:rPr>
        <w:t>投标文件的封套上应清楚地标记“正本”或“电子文档”字样，封套上应写明的其</w:t>
      </w:r>
      <w:r>
        <w:rPr>
          <w:highlight w:val="none"/>
        </w:rPr>
        <w:t xml:space="preserve"> 他内容见供应商须知前附表。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4.1.3</w:t>
      </w:r>
      <w:r>
        <w:rPr>
          <w:spacing w:val="5"/>
          <w:highlight w:val="none"/>
        </w:rPr>
        <w:t xml:space="preserve"> </w:t>
      </w:r>
      <w:r>
        <w:rPr>
          <w:highlight w:val="none"/>
        </w:rPr>
        <w:t>未按本章第</w:t>
      </w:r>
      <w:r>
        <w:rPr>
          <w:spacing w:val="-58"/>
          <w:highlight w:val="none"/>
        </w:rPr>
        <w:t xml:space="preserve"> </w:t>
      </w:r>
      <w:r>
        <w:rPr>
          <w:highlight w:val="none"/>
        </w:rPr>
        <w:t>4.1.1</w:t>
      </w:r>
      <w:r>
        <w:rPr>
          <w:spacing w:val="7"/>
          <w:highlight w:val="none"/>
        </w:rPr>
        <w:t xml:space="preserve"> </w:t>
      </w:r>
      <w:r>
        <w:rPr>
          <w:highlight w:val="none"/>
        </w:rPr>
        <w:t>项或第</w:t>
      </w:r>
      <w:r>
        <w:rPr>
          <w:spacing w:val="-58"/>
          <w:highlight w:val="none"/>
        </w:rPr>
        <w:t xml:space="preserve"> </w:t>
      </w:r>
      <w:r>
        <w:rPr>
          <w:highlight w:val="none"/>
        </w:rPr>
        <w:t>4.1.2</w:t>
      </w:r>
      <w:r>
        <w:rPr>
          <w:spacing w:val="7"/>
          <w:highlight w:val="none"/>
        </w:rPr>
        <w:t xml:space="preserve"> </w:t>
      </w:r>
      <w:r>
        <w:rPr>
          <w:highlight w:val="none"/>
        </w:rPr>
        <w:t>项要求密封和加写标记的投标文件，采购人不承 担错拆、漏拆的责任并有权不予受理。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49" w:name="4.2 投标文件的递交"/>
      <w:bookmarkEnd w:id="49"/>
      <w:r>
        <w:rPr>
          <w:highlight w:val="none"/>
        </w:rPr>
        <w:t>4.2 投标文件的递交</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rFonts w:ascii="宋体" w:hAnsi="宋体" w:eastAsia="宋体" w:cs="宋体"/>
          <w:sz w:val="5"/>
          <w:szCs w:val="5"/>
          <w:highlight w:val="none"/>
        </w:rPr>
      </w:pPr>
      <w:r>
        <w:rPr>
          <w:highlight w:val="none"/>
        </w:rPr>
        <w:t>4.2.1 供应商应在本章第</w:t>
      </w:r>
      <w:r>
        <w:rPr>
          <w:spacing w:val="-60"/>
          <w:highlight w:val="none"/>
        </w:rPr>
        <w:t xml:space="preserve"> </w:t>
      </w:r>
      <w:r>
        <w:rPr>
          <w:highlight w:val="none"/>
        </w:rPr>
        <w:t>2.2.2</w:t>
      </w:r>
      <w:r>
        <w:rPr>
          <w:spacing w:val="-60"/>
          <w:highlight w:val="none"/>
        </w:rPr>
        <w:t xml:space="preserve"> </w:t>
      </w:r>
      <w:r>
        <w:rPr>
          <w:highlight w:val="none"/>
        </w:rPr>
        <w:t>项规定的投标截止时间前递交投标文件。</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0"/>
        <w:jc w:val="both"/>
        <w:textAlignment w:val="auto"/>
        <w:rPr>
          <w:rFonts w:ascii="宋体" w:hAnsi="宋体" w:eastAsia="宋体" w:cs="宋体"/>
          <w:sz w:val="5"/>
          <w:szCs w:val="5"/>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r>
        <w:rPr>
          <w:highlight w:val="none"/>
        </w:rPr>
        <w:t>4.2.2</w:t>
      </w:r>
      <w:r>
        <w:rPr>
          <w:spacing w:val="-60"/>
          <w:highlight w:val="none"/>
        </w:rPr>
        <w:t xml:space="preserve"> </w:t>
      </w:r>
      <w:r>
        <w:rPr>
          <w:highlight w:val="none"/>
        </w:rPr>
        <w:t>供应商通过下载招标文件的电子招标投标交易平台递交电子投标文件。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r>
        <w:rPr>
          <w:highlight w:val="none"/>
        </w:rPr>
        <w:t>4.2.3 除供应商须知前附表另有规定外，供应商所递交的投标文件不予退还。</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r>
        <w:rPr>
          <w:highlight w:val="none"/>
        </w:rPr>
        <w:t>4.2.4 逾期送达的或者未送达指定地点的投标文件，采购人不予受理。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50" w:name="4.3 投标文件的修改与撤回"/>
      <w:bookmarkEnd w:id="50"/>
      <w:r>
        <w:rPr>
          <w:highlight w:val="none"/>
        </w:rPr>
        <w:t>4.3 投标文件的修改与撤回</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4.3.1</w:t>
      </w:r>
      <w:r>
        <w:rPr>
          <w:spacing w:val="-70"/>
          <w:highlight w:val="none"/>
        </w:rPr>
        <w:t xml:space="preserve"> </w:t>
      </w:r>
      <w:r>
        <w:rPr>
          <w:highlight w:val="none"/>
        </w:rPr>
        <w:t>在本章第</w:t>
      </w:r>
      <w:r>
        <w:rPr>
          <w:spacing w:val="-70"/>
          <w:highlight w:val="none"/>
        </w:rPr>
        <w:t xml:space="preserve"> </w:t>
      </w:r>
      <w:r>
        <w:rPr>
          <w:highlight w:val="none"/>
        </w:rPr>
        <w:t>2.2.2</w:t>
      </w:r>
      <w:r>
        <w:rPr>
          <w:spacing w:val="-70"/>
          <w:highlight w:val="none"/>
        </w:rPr>
        <w:t xml:space="preserve"> </w:t>
      </w:r>
      <w:r>
        <w:rPr>
          <w:highlight w:val="none"/>
        </w:rPr>
        <w:t xml:space="preserve">项规定的投标截止时间前，供应商可以多次修改或撤回已上传的投 </w:t>
      </w:r>
      <w:r>
        <w:rPr>
          <w:spacing w:val="-3"/>
          <w:highlight w:val="none"/>
        </w:rPr>
        <w:t>标文件，最终投标文件以投标截止时间前完成上传至中牟县公共资源交易中心交易系统最后一</w:t>
      </w:r>
      <w:r>
        <w:rPr>
          <w:spacing w:val="-86"/>
          <w:highlight w:val="none"/>
        </w:rPr>
        <w:t xml:space="preserve"> </w:t>
      </w:r>
      <w:r>
        <w:rPr>
          <w:highlight w:val="none"/>
        </w:rPr>
        <w:t>份投标文件为准。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40" w:firstLineChars="100"/>
        <w:jc w:val="both"/>
        <w:textAlignment w:val="auto"/>
        <w:rPr>
          <w:rFonts w:ascii="宋体" w:hAnsi="宋体" w:eastAsia="宋体" w:cs="宋体"/>
          <w:sz w:val="25"/>
          <w:szCs w:val="25"/>
          <w:highlight w:val="none"/>
        </w:rPr>
      </w:pPr>
      <w:r>
        <w:rPr>
          <w:highlight w:val="none"/>
        </w:rPr>
        <w:t>4.3.2</w:t>
      </w:r>
      <w:r>
        <w:rPr>
          <w:spacing w:val="-60"/>
          <w:highlight w:val="none"/>
        </w:rPr>
        <w:t xml:space="preserve"> </w:t>
      </w:r>
      <w:r>
        <w:rPr>
          <w:highlight w:val="none"/>
        </w:rPr>
        <w:t>修改的内容为投标文件的组成部分。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rFonts w:ascii="宋体" w:hAnsi="宋体" w:eastAsia="宋体" w:cs="宋体"/>
          <w:sz w:val="25"/>
          <w:szCs w:val="25"/>
          <w:highlight w:val="none"/>
        </w:rPr>
      </w:pPr>
      <w:bookmarkStart w:id="51" w:name="5．开标"/>
      <w:bookmarkEnd w:id="51"/>
      <w:bookmarkStart w:id="52" w:name="_bookmark6"/>
      <w:bookmarkEnd w:id="52"/>
      <w:r>
        <w:rPr>
          <w:highlight w:val="none"/>
        </w:rPr>
        <w:t>5．开标</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53" w:name="5.1 开标时间和地点"/>
      <w:bookmarkEnd w:id="53"/>
      <w:r>
        <w:rPr>
          <w:highlight w:val="none"/>
        </w:rPr>
        <w:t>5.1 开标时间和地点</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0"/>
        <w:jc w:val="both"/>
        <w:textAlignment w:val="auto"/>
        <w:rPr>
          <w:highlight w:val="none"/>
        </w:rPr>
      </w:pPr>
      <w:r>
        <w:rPr>
          <w:highlight w:val="none"/>
        </w:rPr>
        <w:t>采购人在本章第 2.2.2</w:t>
      </w:r>
      <w:r>
        <w:rPr>
          <w:spacing w:val="-41"/>
          <w:highlight w:val="none"/>
        </w:rPr>
        <w:t xml:space="preserve"> </w:t>
      </w:r>
      <w:r>
        <w:rPr>
          <w:spacing w:val="2"/>
          <w:highlight w:val="none"/>
        </w:rPr>
        <w:t>项规定的投标截止时间（开标时间）和供应商须知前附表规定的</w:t>
      </w:r>
      <w:r>
        <w:rPr>
          <w:highlight w:val="none"/>
        </w:rPr>
        <w:t>地点公开开标，并邀请所有供应商的法定代表人或其委托代理人准时参加。</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jc w:val="both"/>
        <w:textAlignment w:val="auto"/>
        <w:rPr>
          <w:highlight w:val="none"/>
        </w:rPr>
      </w:pPr>
      <w:bookmarkStart w:id="54" w:name="5.2 开标程序"/>
      <w:bookmarkEnd w:id="54"/>
      <w:r>
        <w:rPr>
          <w:highlight w:val="none"/>
        </w:rPr>
        <w:t>5.2 开标程序</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40" w:firstLineChars="100"/>
        <w:jc w:val="both"/>
        <w:textAlignment w:val="auto"/>
        <w:rPr>
          <w:highlight w:val="none"/>
        </w:rPr>
      </w:pPr>
      <w:r>
        <w:rPr>
          <w:highlight w:val="none"/>
        </w:rPr>
        <w:t>主持人按下列程序进行开标：</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40" w:firstLineChars="100"/>
        <w:jc w:val="both"/>
        <w:textAlignment w:val="auto"/>
        <w:rPr>
          <w:highlight w:val="none"/>
        </w:rPr>
      </w:pPr>
      <w:r>
        <w:rPr>
          <w:highlight w:val="none"/>
        </w:rPr>
        <w:t>（1）宣布开标纪律；</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40" w:firstLineChars="100"/>
        <w:jc w:val="both"/>
        <w:textAlignment w:val="auto"/>
        <w:rPr>
          <w:highlight w:val="none"/>
        </w:rPr>
      </w:pPr>
      <w:r>
        <w:rPr>
          <w:highlight w:val="none"/>
        </w:rPr>
        <w:t>（2）公布在投标截止时间前系统上传投标文件的供应商名称；</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40" w:firstLineChars="100"/>
        <w:jc w:val="both"/>
        <w:textAlignment w:val="auto"/>
        <w:rPr>
          <w:highlight w:val="none"/>
        </w:rPr>
      </w:pPr>
      <w:r>
        <w:rPr>
          <w:highlight w:val="none"/>
        </w:rPr>
        <w:t>（3）投标文件解密；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240" w:firstLineChars="100"/>
        <w:jc w:val="both"/>
        <w:textAlignment w:val="auto"/>
        <w:rPr>
          <w:highlight w:val="none"/>
        </w:rPr>
      </w:pPr>
      <w:r>
        <w:rPr>
          <w:highlight w:val="none"/>
        </w:rPr>
        <w:t xml:space="preserve">（4）开标结束。 </w:t>
      </w:r>
      <w:bookmarkStart w:id="55" w:name="_bookmark7"/>
      <w:bookmarkEnd w:id="55"/>
      <w:bookmarkStart w:id="56" w:name="6.资格审查"/>
      <w:bookmarkEnd w:id="56"/>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jc w:val="both"/>
        <w:textAlignment w:val="auto"/>
        <w:outlineLvl w:val="0"/>
        <w:rPr>
          <w:rFonts w:ascii="宋体" w:hAnsi="宋体" w:eastAsia="宋体" w:cstheme="minorBidi"/>
          <w:b w:val="0"/>
          <w:bCs w:val="0"/>
          <w:sz w:val="24"/>
          <w:szCs w:val="24"/>
          <w:highlight w:val="none"/>
          <w:lang w:val="en-US" w:eastAsia="en-US" w:bidi="ar-SA"/>
        </w:rPr>
      </w:pPr>
      <w:bookmarkStart w:id="57" w:name="_Toc152045562"/>
      <w:bookmarkStart w:id="58" w:name="_Toc21333"/>
      <w:bookmarkStart w:id="59" w:name="_Toc152042338"/>
      <w:bookmarkStart w:id="60" w:name="_Toc144974530"/>
      <w:r>
        <w:rPr>
          <w:rFonts w:ascii="宋体" w:hAnsi="宋体" w:eastAsia="宋体" w:cstheme="minorBidi"/>
          <w:b w:val="0"/>
          <w:bCs w:val="0"/>
          <w:sz w:val="24"/>
          <w:szCs w:val="24"/>
          <w:highlight w:val="none"/>
          <w:lang w:val="en-US" w:eastAsia="en-US" w:bidi="ar-SA"/>
        </w:rPr>
        <w:t>6. 评标</w:t>
      </w:r>
      <w:bookmarkEnd w:id="57"/>
      <w:bookmarkEnd w:id="58"/>
      <w:bookmarkEnd w:id="59"/>
      <w:bookmarkEnd w:id="60"/>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61" w:name="_Toc152045563"/>
      <w:bookmarkStart w:id="62" w:name="_Toc3036"/>
      <w:bookmarkStart w:id="63" w:name="_Toc144974531"/>
      <w:bookmarkStart w:id="64" w:name="_Toc152042339"/>
      <w:r>
        <w:rPr>
          <w:rFonts w:ascii="宋体" w:hAnsi="宋体" w:eastAsia="宋体" w:cstheme="minorBidi"/>
          <w:b w:val="0"/>
          <w:bCs w:val="0"/>
          <w:sz w:val="24"/>
          <w:szCs w:val="24"/>
          <w:highlight w:val="none"/>
          <w:lang w:val="en-US" w:eastAsia="en-US" w:bidi="ar-SA"/>
        </w:rPr>
        <w:t>6.1 评标委员会</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6.1.1 评标由</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依法组建的评标委员会负责。评标委员会由</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或其委托的招标代理机构熟悉相关业务的代表，以及有关技术、经济等方面的专家组成。评标委员会成员人数以及技术、经济等方面专家的确定方式见</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须知前附表。</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6.1.2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820" w:firstLineChars="342"/>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（1）</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或</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的主要负责人的近亲属；</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820" w:firstLineChars="342"/>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（2）项目主管部门或者行政监督部门的人员；</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820" w:firstLineChars="342"/>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（3）与</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820" w:firstLineChars="342"/>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（4）曾因在招标、评标以及其他与招标投标有关活动中从事违法行为而受过行政处罚或刑事处罚的。</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65" w:name="_Toc152042340"/>
      <w:bookmarkStart w:id="66" w:name="_Toc152045564"/>
      <w:bookmarkStart w:id="67" w:name="_Toc144974532"/>
      <w:bookmarkStart w:id="68" w:name="_Toc2819"/>
      <w:r>
        <w:rPr>
          <w:rFonts w:ascii="宋体" w:hAnsi="宋体" w:eastAsia="宋体" w:cstheme="minorBidi"/>
          <w:b w:val="0"/>
          <w:bCs w:val="0"/>
          <w:sz w:val="24"/>
          <w:szCs w:val="24"/>
          <w:highlight w:val="none"/>
          <w:lang w:val="en-US" w:eastAsia="en-US" w:bidi="ar-SA"/>
        </w:rPr>
        <w:t>6.2 评标原则</w:t>
      </w:r>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评标活动遵循公平、公正、科学和择优的原则。</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69" w:name="_Toc152042341"/>
      <w:bookmarkStart w:id="70" w:name="_Toc30983"/>
      <w:bookmarkStart w:id="71" w:name="_Toc152045565"/>
      <w:bookmarkStart w:id="72" w:name="_Toc144974533"/>
      <w:r>
        <w:rPr>
          <w:rFonts w:ascii="宋体" w:hAnsi="宋体" w:eastAsia="宋体" w:cstheme="minorBidi"/>
          <w:b w:val="0"/>
          <w:bCs w:val="0"/>
          <w:sz w:val="24"/>
          <w:szCs w:val="24"/>
          <w:highlight w:val="none"/>
          <w:lang w:val="en-US" w:eastAsia="en-US" w:bidi="ar-SA"/>
        </w:rPr>
        <w:t>6.3 评标</w:t>
      </w:r>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评标委员会按照第三章“评标办法”规定的方法、评审因素、标准和程序对投标文件进行评审。第三章“评标办法”没有规定的方法、评审因素和标准，不作为评标依据。</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jc w:val="both"/>
        <w:textAlignment w:val="auto"/>
        <w:outlineLvl w:val="0"/>
        <w:rPr>
          <w:rFonts w:ascii="宋体" w:hAnsi="宋体" w:eastAsia="宋体" w:cstheme="minorBidi"/>
          <w:b w:val="0"/>
          <w:bCs w:val="0"/>
          <w:sz w:val="24"/>
          <w:szCs w:val="24"/>
          <w:highlight w:val="none"/>
          <w:lang w:val="en-US" w:eastAsia="en-US" w:bidi="ar-SA"/>
        </w:rPr>
      </w:pPr>
      <w:bookmarkStart w:id="73" w:name="_Toc152045566"/>
      <w:bookmarkStart w:id="74" w:name="_Toc31620"/>
      <w:bookmarkStart w:id="75" w:name="_Toc144974534"/>
      <w:bookmarkStart w:id="76" w:name="_Toc152042342"/>
      <w:r>
        <w:rPr>
          <w:rFonts w:ascii="宋体" w:hAnsi="宋体" w:eastAsia="宋体" w:cstheme="minorBidi"/>
          <w:b w:val="0"/>
          <w:bCs w:val="0"/>
          <w:sz w:val="24"/>
          <w:szCs w:val="24"/>
          <w:highlight w:val="none"/>
          <w:lang w:val="en-US" w:eastAsia="en-US" w:bidi="ar-SA"/>
        </w:rPr>
        <w:t>7. 合同授予</w:t>
      </w:r>
      <w:bookmarkEnd w:id="73"/>
      <w:bookmarkEnd w:id="74"/>
      <w:bookmarkEnd w:id="75"/>
      <w:bookmarkEnd w:id="76"/>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77" w:name="_Toc144974535"/>
      <w:bookmarkStart w:id="78" w:name="_Toc152045567"/>
      <w:bookmarkStart w:id="79" w:name="_Toc152042343"/>
      <w:bookmarkStart w:id="80" w:name="_Toc8604"/>
      <w:r>
        <w:rPr>
          <w:rFonts w:ascii="宋体" w:hAnsi="宋体" w:eastAsia="宋体" w:cstheme="minorBidi"/>
          <w:b w:val="0"/>
          <w:bCs w:val="0"/>
          <w:sz w:val="24"/>
          <w:szCs w:val="24"/>
          <w:highlight w:val="none"/>
          <w:lang w:val="en-US" w:eastAsia="en-US" w:bidi="ar-SA"/>
        </w:rPr>
        <w:t>7.1 定标方式</w:t>
      </w:r>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除</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须知前附表规定评标委员会直接确定中标人外，</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依据评标委员会推荐的中标候选人确定中标人，评标委员会推荐中标候选人的人数见</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须知前附表。</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81" w:name="_Toc144974536"/>
      <w:bookmarkStart w:id="82" w:name="_Toc11544"/>
      <w:bookmarkStart w:id="83" w:name="_Toc152042344"/>
      <w:bookmarkStart w:id="84" w:name="_Toc152045568"/>
      <w:r>
        <w:rPr>
          <w:rFonts w:ascii="宋体" w:hAnsi="宋体" w:eastAsia="宋体" w:cstheme="minorBidi"/>
          <w:b w:val="0"/>
          <w:bCs w:val="0"/>
          <w:sz w:val="24"/>
          <w:szCs w:val="24"/>
          <w:highlight w:val="none"/>
          <w:lang w:val="en-US" w:eastAsia="en-US" w:bidi="ar-SA"/>
        </w:rPr>
        <w:t>7.2 中标通知</w:t>
      </w:r>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在本章第3.3款规定的投标有效期内，</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以书面形式向中标人发出中标通知书，同时将中标结果通知未中标的</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85" w:name="_Toc152045569"/>
      <w:bookmarkStart w:id="86" w:name="_Toc15882"/>
      <w:bookmarkStart w:id="87" w:name="_Toc152042345"/>
      <w:bookmarkStart w:id="88" w:name="_Toc144974537"/>
      <w:r>
        <w:rPr>
          <w:rFonts w:ascii="宋体" w:hAnsi="宋体" w:eastAsia="宋体" w:cstheme="minorBidi"/>
          <w:b w:val="0"/>
          <w:bCs w:val="0"/>
          <w:sz w:val="24"/>
          <w:szCs w:val="24"/>
          <w:highlight w:val="none"/>
          <w:lang w:val="en-US" w:eastAsia="en-US" w:bidi="ar-SA"/>
        </w:rPr>
        <w:t>7.3 履约担保</w:t>
      </w:r>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7.3.1在签订合同前，中标人应按</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须知前附表规定的金额、担保形式和招标文件第四章“合同条款及格式”规定的履约担保格式向</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提交履约担保。联合体中标的，其履约担保由牵头人递交，并应符合</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须知前附表规定的金额、担保形式和招标文件第四章“合同条款及格式”规定的履约担保格式要求。</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7.3.2 中标人不能按本章第7.3.1项要求提交履约担保的，视为放弃中标，其投标保证金不予退还，给</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造成的损失超过投标保证金数额的，中标人还应当对超过部分予以赔偿。</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89" w:name="_Toc152042346"/>
      <w:bookmarkStart w:id="90" w:name="_Toc144974538"/>
      <w:bookmarkStart w:id="91" w:name="_Toc152045570"/>
      <w:bookmarkStart w:id="92" w:name="_Toc10994"/>
      <w:r>
        <w:rPr>
          <w:rFonts w:ascii="宋体" w:hAnsi="宋体" w:eastAsia="宋体" w:cstheme="minorBidi"/>
          <w:b w:val="0"/>
          <w:bCs w:val="0"/>
          <w:sz w:val="24"/>
          <w:szCs w:val="24"/>
          <w:highlight w:val="none"/>
          <w:lang w:val="en-US" w:eastAsia="en-US" w:bidi="ar-SA"/>
        </w:rPr>
        <w:t>7.4 签订合同</w:t>
      </w:r>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7.4.1</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和中标人应当自中标通知书发出之日起30天内，根据招标文件和中标人的投标文件订立书面合同。中标人无正当理由拒签合同的，</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取消其中标资格，其投标保证金不予退还；给</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 xml:space="preserve">造成的损失超过投标保证金数额的，中标人还应当对超过部分予以赔偿。 </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7.4.2 发出中标通知书后，</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无正当理由拒签合同的，</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 xml:space="preserve">向中标人退还投标保证金；给中标人造成损失的，还应当赔偿损失。 </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jc w:val="both"/>
        <w:textAlignment w:val="auto"/>
        <w:outlineLvl w:val="0"/>
        <w:rPr>
          <w:rFonts w:ascii="宋体" w:hAnsi="宋体" w:eastAsia="宋体" w:cstheme="minorBidi"/>
          <w:b w:val="0"/>
          <w:bCs w:val="0"/>
          <w:sz w:val="24"/>
          <w:szCs w:val="24"/>
          <w:highlight w:val="none"/>
          <w:lang w:val="en-US" w:eastAsia="en-US" w:bidi="ar-SA"/>
        </w:rPr>
      </w:pPr>
      <w:bookmarkStart w:id="93" w:name="_Toc144974539"/>
      <w:bookmarkStart w:id="94" w:name="_Toc5935"/>
      <w:bookmarkStart w:id="95" w:name="_Toc152042347"/>
      <w:bookmarkStart w:id="96" w:name="_Toc152045571"/>
      <w:r>
        <w:rPr>
          <w:rFonts w:ascii="宋体" w:hAnsi="宋体" w:eastAsia="宋体" w:cstheme="minorBidi"/>
          <w:b w:val="0"/>
          <w:bCs w:val="0"/>
          <w:sz w:val="24"/>
          <w:szCs w:val="24"/>
          <w:highlight w:val="none"/>
          <w:lang w:val="en-US" w:eastAsia="en-US" w:bidi="ar-SA"/>
        </w:rPr>
        <w:t>8. 重新招标和不再招标</w:t>
      </w:r>
      <w:bookmarkEnd w:id="93"/>
      <w:bookmarkEnd w:id="94"/>
      <w:bookmarkEnd w:id="95"/>
      <w:bookmarkEnd w:id="96"/>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97" w:name="_Toc152042348"/>
      <w:bookmarkStart w:id="98" w:name="_Toc144974540"/>
      <w:bookmarkStart w:id="99" w:name="_Toc152045572"/>
      <w:bookmarkStart w:id="100" w:name="_Toc17165"/>
      <w:r>
        <w:rPr>
          <w:rFonts w:ascii="宋体" w:hAnsi="宋体" w:eastAsia="宋体" w:cstheme="minorBidi"/>
          <w:b w:val="0"/>
          <w:bCs w:val="0"/>
          <w:sz w:val="24"/>
          <w:szCs w:val="24"/>
          <w:highlight w:val="none"/>
          <w:lang w:val="en-US" w:eastAsia="en-US" w:bidi="ar-SA"/>
        </w:rPr>
        <w:t>8.1 重新招标</w:t>
      </w:r>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有下列情形之一的，</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将重新招标：</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10" w:firstLineChars="171"/>
        <w:jc w:val="both"/>
        <w:textAlignment w:val="auto"/>
        <w:rPr>
          <w:rFonts w:ascii="宋体" w:hAnsi="宋体" w:eastAsia="宋体" w:cstheme="minorBidi"/>
          <w:b w:val="0"/>
          <w:bCs w:val="0"/>
          <w:sz w:val="24"/>
          <w:szCs w:val="24"/>
          <w:highlight w:val="none"/>
          <w:lang w:val="en-US" w:eastAsia="en-US" w:bidi="ar-SA"/>
        </w:rPr>
      </w:pPr>
      <w:r>
        <w:rPr>
          <w:rFonts w:hint="eastAsia" w:ascii="宋体" w:hAnsi="宋体" w:eastAsia="宋体" w:cstheme="minorBidi"/>
          <w:b w:val="0"/>
          <w:bCs w:val="0"/>
          <w:sz w:val="24"/>
          <w:szCs w:val="24"/>
          <w:highlight w:val="none"/>
          <w:lang w:val="en-US" w:eastAsia="en-US" w:bidi="ar-SA"/>
        </w:rPr>
        <w:t xml:space="preserve">    </w:t>
      </w:r>
      <w:r>
        <w:rPr>
          <w:rFonts w:ascii="宋体" w:hAnsi="宋体" w:eastAsia="宋体" w:cstheme="minorBidi"/>
          <w:b w:val="0"/>
          <w:bCs w:val="0"/>
          <w:sz w:val="24"/>
          <w:szCs w:val="24"/>
          <w:highlight w:val="none"/>
          <w:lang w:val="en-US" w:eastAsia="en-US" w:bidi="ar-SA"/>
        </w:rPr>
        <w:t>（1）投标截止时间止，</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少于3个的；</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10" w:firstLineChars="171"/>
        <w:jc w:val="both"/>
        <w:textAlignment w:val="auto"/>
        <w:rPr>
          <w:rFonts w:ascii="宋体" w:hAnsi="宋体" w:eastAsia="宋体" w:cstheme="minorBidi"/>
          <w:b w:val="0"/>
          <w:bCs w:val="0"/>
          <w:sz w:val="24"/>
          <w:szCs w:val="24"/>
          <w:highlight w:val="none"/>
          <w:lang w:val="en-US" w:eastAsia="en-US" w:bidi="ar-SA"/>
        </w:rPr>
      </w:pPr>
      <w:r>
        <w:rPr>
          <w:rFonts w:hint="eastAsia" w:ascii="宋体" w:hAnsi="宋体" w:eastAsia="宋体" w:cstheme="minorBidi"/>
          <w:b w:val="0"/>
          <w:bCs w:val="0"/>
          <w:sz w:val="24"/>
          <w:szCs w:val="24"/>
          <w:highlight w:val="none"/>
          <w:lang w:val="en-US" w:eastAsia="en-US" w:bidi="ar-SA"/>
        </w:rPr>
        <w:t xml:space="preserve">    </w:t>
      </w:r>
      <w:r>
        <w:rPr>
          <w:rFonts w:ascii="宋体" w:hAnsi="宋体" w:eastAsia="宋体" w:cstheme="minorBidi"/>
          <w:b w:val="0"/>
          <w:bCs w:val="0"/>
          <w:sz w:val="24"/>
          <w:szCs w:val="24"/>
          <w:highlight w:val="none"/>
          <w:lang w:val="en-US" w:eastAsia="en-US" w:bidi="ar-SA"/>
        </w:rPr>
        <w:t>（2）经评标委员会评审后否决所有投标的。</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101" w:name="_Toc4450"/>
      <w:bookmarkStart w:id="102" w:name="_Toc144974541"/>
      <w:bookmarkStart w:id="103" w:name="_Toc152042349"/>
      <w:bookmarkStart w:id="104" w:name="_Toc152045573"/>
      <w:r>
        <w:rPr>
          <w:rFonts w:ascii="宋体" w:hAnsi="宋体" w:eastAsia="宋体" w:cstheme="minorBidi"/>
          <w:b w:val="0"/>
          <w:bCs w:val="0"/>
          <w:sz w:val="24"/>
          <w:szCs w:val="24"/>
          <w:highlight w:val="none"/>
          <w:lang w:val="en-US" w:eastAsia="en-US" w:bidi="ar-SA"/>
        </w:rPr>
        <w:t>8.2 不再招标</w:t>
      </w:r>
      <w:bookmarkEnd w:id="101"/>
      <w:bookmarkEnd w:id="102"/>
      <w:bookmarkEnd w:id="103"/>
      <w:bookmarkEnd w:id="104"/>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重新招标后</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仍少于3个或者所有投标被否决的，属于必须审批或核准的工程建设项目，经原审批或核准部门批准后不再进行招标。</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jc w:val="both"/>
        <w:textAlignment w:val="auto"/>
        <w:outlineLvl w:val="0"/>
        <w:rPr>
          <w:rFonts w:ascii="宋体" w:hAnsi="宋体" w:eastAsia="宋体" w:cstheme="minorBidi"/>
          <w:b w:val="0"/>
          <w:bCs w:val="0"/>
          <w:sz w:val="24"/>
          <w:szCs w:val="24"/>
          <w:highlight w:val="none"/>
          <w:lang w:val="en-US" w:eastAsia="en-US" w:bidi="ar-SA"/>
        </w:rPr>
      </w:pPr>
      <w:bookmarkStart w:id="105" w:name="_Toc152042350"/>
      <w:bookmarkStart w:id="106" w:name="_Toc144974542"/>
      <w:bookmarkStart w:id="107" w:name="_Toc1409"/>
      <w:bookmarkStart w:id="108" w:name="_Toc152045574"/>
      <w:r>
        <w:rPr>
          <w:rFonts w:ascii="宋体" w:hAnsi="宋体" w:eastAsia="宋体" w:cstheme="minorBidi"/>
          <w:b w:val="0"/>
          <w:bCs w:val="0"/>
          <w:sz w:val="24"/>
          <w:szCs w:val="24"/>
          <w:highlight w:val="none"/>
          <w:lang w:val="en-US" w:eastAsia="en-US" w:bidi="ar-SA"/>
        </w:rPr>
        <w:t>9. 纪律和监督</w:t>
      </w:r>
      <w:bookmarkEnd w:id="105"/>
      <w:bookmarkEnd w:id="106"/>
      <w:bookmarkEnd w:id="107"/>
      <w:bookmarkEnd w:id="108"/>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109" w:name="_Toc19705"/>
      <w:bookmarkStart w:id="110" w:name="_Toc152045575"/>
      <w:bookmarkStart w:id="111" w:name="_Toc144974543"/>
      <w:bookmarkStart w:id="112" w:name="_Toc152042351"/>
      <w:r>
        <w:rPr>
          <w:rFonts w:ascii="宋体" w:hAnsi="宋体" w:eastAsia="宋体" w:cstheme="minorBidi"/>
          <w:b w:val="0"/>
          <w:bCs w:val="0"/>
          <w:sz w:val="24"/>
          <w:szCs w:val="24"/>
          <w:highlight w:val="none"/>
          <w:lang w:val="en-US" w:eastAsia="en-US" w:bidi="ar-SA"/>
        </w:rPr>
        <w:t>9.1 对</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的纪律要求</w:t>
      </w:r>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不得泄漏招标投标活动中应当保密的情况和资料，不得与</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串通损害国家利益、社会公共利益或者他人合法权益。</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113" w:name="_Toc1924"/>
      <w:bookmarkStart w:id="114" w:name="_Toc144974544"/>
      <w:bookmarkStart w:id="115" w:name="_Toc152045576"/>
      <w:bookmarkStart w:id="116" w:name="_Toc152042352"/>
      <w:r>
        <w:rPr>
          <w:rFonts w:ascii="宋体" w:hAnsi="宋体" w:eastAsia="宋体" w:cstheme="minorBidi"/>
          <w:b w:val="0"/>
          <w:bCs w:val="0"/>
          <w:sz w:val="24"/>
          <w:szCs w:val="24"/>
          <w:highlight w:val="none"/>
          <w:lang w:val="en-US" w:eastAsia="en-US" w:bidi="ar-SA"/>
        </w:rPr>
        <w:t>9.2 对</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的纪律要求</w:t>
      </w:r>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不得相互串通投标或者与</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串通投标，不得向</w:t>
      </w:r>
      <w:r>
        <w:rPr>
          <w:rFonts w:hint="eastAsia" w:ascii="宋体" w:hAnsi="宋体" w:eastAsia="宋体" w:cstheme="minorBidi"/>
          <w:b w:val="0"/>
          <w:bCs w:val="0"/>
          <w:sz w:val="24"/>
          <w:szCs w:val="24"/>
          <w:highlight w:val="none"/>
          <w:lang w:val="en-US" w:eastAsia="zh-CN" w:bidi="ar-SA"/>
        </w:rPr>
        <w:t>采购人</w:t>
      </w:r>
      <w:r>
        <w:rPr>
          <w:rFonts w:ascii="宋体" w:hAnsi="宋体" w:eastAsia="宋体" w:cstheme="minorBidi"/>
          <w:b w:val="0"/>
          <w:bCs w:val="0"/>
          <w:sz w:val="24"/>
          <w:szCs w:val="24"/>
          <w:highlight w:val="none"/>
          <w:lang w:val="en-US" w:eastAsia="en-US" w:bidi="ar-SA"/>
        </w:rPr>
        <w:t>或者评标委员会成员行贿谋取中标，不得以他人名义投标或者以其他方式弄虚作假骗取中标；</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不得以任何方式干扰、影响评标工作。</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117" w:name="_Toc152045577"/>
      <w:bookmarkStart w:id="118" w:name="_Toc152042353"/>
      <w:bookmarkStart w:id="119" w:name="_Toc144974545"/>
      <w:bookmarkStart w:id="120" w:name="_Toc28602"/>
      <w:r>
        <w:rPr>
          <w:rFonts w:ascii="宋体" w:hAnsi="宋体" w:eastAsia="宋体" w:cstheme="minorBidi"/>
          <w:b w:val="0"/>
          <w:bCs w:val="0"/>
          <w:sz w:val="24"/>
          <w:szCs w:val="24"/>
          <w:highlight w:val="none"/>
          <w:lang w:val="en-US" w:eastAsia="en-US" w:bidi="ar-SA"/>
        </w:rPr>
        <w:t>9.3 对评标委员会成员的纪律要求</w:t>
      </w:r>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121" w:name="_Toc152042354"/>
      <w:bookmarkStart w:id="122" w:name="_Toc20355"/>
      <w:bookmarkStart w:id="123" w:name="_Toc152045578"/>
      <w:bookmarkStart w:id="124" w:name="_Toc144974546"/>
      <w:r>
        <w:rPr>
          <w:rFonts w:ascii="宋体" w:hAnsi="宋体" w:eastAsia="宋体" w:cstheme="minorBidi"/>
          <w:b w:val="0"/>
          <w:bCs w:val="0"/>
          <w:sz w:val="24"/>
          <w:szCs w:val="24"/>
          <w:highlight w:val="none"/>
          <w:lang w:val="en-US" w:eastAsia="en-US" w:bidi="ar-SA"/>
        </w:rPr>
        <w:t>9.4 对与评标活动有关的工作人员的纪律要求</w:t>
      </w:r>
      <w:bookmarkEnd w:id="121"/>
      <w:bookmarkEnd w:id="122"/>
      <w:bookmarkEnd w:id="123"/>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bookmarkStart w:id="125" w:name="_Toc152042355"/>
      <w:r>
        <w:rPr>
          <w:rFonts w:ascii="宋体" w:hAnsi="宋体" w:eastAsia="宋体" w:cstheme="minorBidi"/>
          <w:b w:val="0"/>
          <w:bCs w:val="0"/>
          <w:sz w:val="24"/>
          <w:szCs w:val="24"/>
          <w:highlight w:val="none"/>
          <w:lang w:val="en-US" w:eastAsia="en-US" w:bidi="ar-S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25"/>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jc w:val="both"/>
        <w:textAlignment w:val="auto"/>
        <w:rPr>
          <w:rFonts w:ascii="宋体" w:hAnsi="宋体" w:eastAsia="宋体" w:cstheme="minorBidi"/>
          <w:b w:val="0"/>
          <w:bCs w:val="0"/>
          <w:sz w:val="24"/>
          <w:szCs w:val="24"/>
          <w:highlight w:val="none"/>
          <w:lang w:val="en-US" w:eastAsia="en-US" w:bidi="ar-SA"/>
        </w:rPr>
      </w:pPr>
      <w:bookmarkStart w:id="126" w:name="_Toc152042356"/>
      <w:bookmarkStart w:id="127" w:name="_Toc152045579"/>
      <w:bookmarkStart w:id="128" w:name="_Toc1816"/>
      <w:r>
        <w:rPr>
          <w:rFonts w:ascii="宋体" w:hAnsi="宋体" w:eastAsia="宋体" w:cstheme="minorBidi"/>
          <w:b w:val="0"/>
          <w:bCs w:val="0"/>
          <w:sz w:val="24"/>
          <w:szCs w:val="24"/>
          <w:highlight w:val="none"/>
          <w:lang w:val="en-US" w:eastAsia="en-US" w:bidi="ar-SA"/>
        </w:rPr>
        <w:t>9.5 投诉</w:t>
      </w:r>
      <w:bookmarkEnd w:id="124"/>
      <w:bookmarkEnd w:id="126"/>
      <w:bookmarkEnd w:id="127"/>
      <w:bookmarkEnd w:id="128"/>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和其他利害关系人认为本次招标活动违反法律、法规和规章规定的，有权向有关行政监督部门投诉。</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jc w:val="both"/>
        <w:textAlignment w:val="auto"/>
        <w:outlineLvl w:val="0"/>
        <w:rPr>
          <w:rFonts w:ascii="宋体" w:hAnsi="宋体" w:eastAsia="宋体" w:cstheme="minorBidi"/>
          <w:b w:val="0"/>
          <w:bCs w:val="0"/>
          <w:sz w:val="24"/>
          <w:szCs w:val="24"/>
          <w:highlight w:val="none"/>
          <w:lang w:val="en-US" w:eastAsia="en-US" w:bidi="ar-SA"/>
        </w:rPr>
      </w:pPr>
      <w:bookmarkStart w:id="129" w:name="_Toc144974547"/>
      <w:bookmarkStart w:id="130" w:name="_Toc152045580"/>
      <w:bookmarkStart w:id="131" w:name="_Toc15095"/>
      <w:bookmarkStart w:id="132" w:name="_Toc152042357"/>
      <w:r>
        <w:rPr>
          <w:rFonts w:ascii="宋体" w:hAnsi="宋体" w:eastAsia="宋体" w:cstheme="minorBidi"/>
          <w:b w:val="0"/>
          <w:bCs w:val="0"/>
          <w:sz w:val="24"/>
          <w:szCs w:val="24"/>
          <w:highlight w:val="none"/>
          <w:lang w:val="en-US" w:eastAsia="en-US" w:bidi="ar-SA"/>
        </w:rPr>
        <w:t>10. 需要补充的其他内容</w:t>
      </w:r>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ascii="宋体" w:hAnsi="宋体" w:eastAsia="宋体" w:cstheme="minorBidi"/>
          <w:b w:val="0"/>
          <w:bCs w:val="0"/>
          <w:sz w:val="24"/>
          <w:szCs w:val="24"/>
          <w:highlight w:val="none"/>
          <w:lang w:val="en-US" w:eastAsia="en-US" w:bidi="ar-SA"/>
        </w:rPr>
      </w:pPr>
      <w:r>
        <w:rPr>
          <w:rFonts w:ascii="宋体" w:hAnsi="宋体" w:eastAsia="宋体" w:cstheme="minorBidi"/>
          <w:b w:val="0"/>
          <w:bCs w:val="0"/>
          <w:sz w:val="24"/>
          <w:szCs w:val="24"/>
          <w:highlight w:val="none"/>
          <w:lang w:val="en-US" w:eastAsia="en-US" w:bidi="ar-SA"/>
        </w:rPr>
        <w:t>需要补充的其他内容：见</w:t>
      </w:r>
      <w:r>
        <w:rPr>
          <w:rFonts w:hint="eastAsia" w:ascii="宋体" w:hAnsi="宋体" w:eastAsia="宋体" w:cstheme="minorBidi"/>
          <w:b w:val="0"/>
          <w:bCs w:val="0"/>
          <w:sz w:val="24"/>
          <w:szCs w:val="24"/>
          <w:highlight w:val="none"/>
          <w:lang w:val="en-US" w:eastAsia="zh-CN" w:bidi="ar-SA"/>
        </w:rPr>
        <w:t>供应商</w:t>
      </w:r>
      <w:r>
        <w:rPr>
          <w:rFonts w:ascii="宋体" w:hAnsi="宋体" w:eastAsia="宋体" w:cstheme="minorBidi"/>
          <w:b w:val="0"/>
          <w:bCs w:val="0"/>
          <w:sz w:val="24"/>
          <w:szCs w:val="24"/>
          <w:highlight w:val="none"/>
          <w:lang w:val="en-US" w:eastAsia="en-US" w:bidi="ar-SA"/>
        </w:rPr>
        <w:t>须知前附表。</w:t>
      </w:r>
    </w:p>
    <w:p>
      <w:pPr>
        <w:spacing w:before="9" w:line="240" w:lineRule="auto"/>
        <w:rPr>
          <w:rFonts w:ascii="宋体" w:hAnsi="宋体" w:eastAsia="宋体" w:cs="宋体"/>
          <w:sz w:val="5"/>
          <w:szCs w:val="5"/>
          <w:highlight w:val="none"/>
        </w:rPr>
      </w:pPr>
    </w:p>
    <w:p>
      <w:pPr>
        <w:spacing w:before="0" w:line="240" w:lineRule="auto"/>
        <w:rPr>
          <w:rFonts w:ascii="宋体" w:hAnsi="宋体" w:eastAsia="宋体" w:cs="宋体"/>
          <w:sz w:val="20"/>
          <w:szCs w:val="20"/>
          <w:highlight w:val="none"/>
        </w:rPr>
      </w:pPr>
    </w:p>
    <w:p>
      <w:pPr>
        <w:spacing w:line="57" w:lineRule="exact"/>
        <w:ind w:left="191" w:right="0" w:firstLine="0"/>
        <w:rPr>
          <w:rFonts w:ascii="宋体" w:hAnsi="宋体" w:eastAsia="宋体" w:cs="宋体"/>
          <w:sz w:val="5"/>
          <w:szCs w:val="5"/>
          <w:highlight w:val="none"/>
        </w:rPr>
      </w:pPr>
    </w:p>
    <w:p>
      <w:pPr>
        <w:bidi w:val="0"/>
        <w:rPr>
          <w:highlight w:val="none"/>
        </w:rPr>
      </w:pPr>
      <w:bookmarkStart w:id="133" w:name="_bookmark15"/>
      <w:bookmarkEnd w:id="133"/>
      <w:bookmarkStart w:id="134" w:name="第三章 评标办法（综合评标法）"/>
      <w:bookmarkEnd w:id="134"/>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pStyle w:val="3"/>
        <w:numPr>
          <w:ilvl w:val="0"/>
          <w:numId w:val="3"/>
        </w:numPr>
        <w:spacing w:before="39" w:line="240" w:lineRule="auto"/>
        <w:ind w:left="3125" w:right="0"/>
        <w:jc w:val="left"/>
        <w:rPr>
          <w:highlight w:val="none"/>
        </w:rPr>
      </w:pPr>
      <w:r>
        <w:rPr>
          <w:rFonts w:ascii="宋体" w:hAnsi="宋体" w:eastAsia="宋体"/>
          <w:highlight w:val="none"/>
        </w:rPr>
        <w:t>评标办法</w:t>
      </w:r>
    </w:p>
    <w:p>
      <w:pPr>
        <w:pStyle w:val="2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cs="Times New Roman"/>
          <w:highlight w:val="none"/>
        </w:rPr>
      </w:pPr>
      <w:bookmarkStart w:id="135" w:name="_Toc144974566"/>
      <w:bookmarkStart w:id="136" w:name="_Toc152042376"/>
      <w:bookmarkStart w:id="137" w:name="_Toc13662"/>
      <w:bookmarkStart w:id="138" w:name="_Toc152045599"/>
    </w:p>
    <w:p>
      <w:pPr>
        <w:pStyle w:val="26"/>
        <w:keepNext/>
        <w:keepLines/>
        <w:pageBreakBefore w:val="0"/>
        <w:widowControl w:val="0"/>
        <w:kinsoku/>
        <w:wordWrap/>
        <w:overflowPunct/>
        <w:topLinePunct w:val="0"/>
        <w:autoSpaceDE/>
        <w:autoSpaceDN/>
        <w:bidi w:val="0"/>
        <w:adjustRightInd/>
        <w:snapToGrid/>
        <w:spacing w:before="0" w:after="0" w:line="360" w:lineRule="auto"/>
        <w:ind w:firstLine="3360" w:firstLineChars="1200"/>
        <w:jc w:val="both"/>
        <w:textAlignment w:val="auto"/>
        <w:rPr>
          <w:rFonts w:cs="Times New Roman"/>
          <w:highlight w:val="none"/>
        </w:rPr>
      </w:pPr>
      <w:r>
        <w:rPr>
          <w:rFonts w:cs="Times New Roman"/>
          <w:highlight w:val="none"/>
        </w:rPr>
        <w:t>评标办法前附表</w:t>
      </w:r>
      <w:bookmarkEnd w:id="135"/>
      <w:bookmarkEnd w:id="136"/>
      <w:bookmarkEnd w:id="137"/>
      <w:bookmarkEnd w:id="138"/>
    </w:p>
    <w:tbl>
      <w:tblPr>
        <w:tblStyle w:val="17"/>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46"/>
        <w:gridCol w:w="1688"/>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51" w:type="dxa"/>
            <w:gridSpan w:val="2"/>
            <w:noWrap w:val="0"/>
            <w:vAlign w:val="center"/>
          </w:tcPr>
          <w:p>
            <w:pPr>
              <w:widowControl/>
              <w:jc w:val="center"/>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rPr>
              <w:t>条款号</w:t>
            </w:r>
            <w:r>
              <w:rPr>
                <w:rFonts w:hint="eastAsia" w:ascii="宋体" w:hAnsi="宋体" w:eastAsia="宋体" w:cs="宋体"/>
                <w:b/>
                <w:color w:val="000000"/>
                <w:sz w:val="24"/>
                <w:szCs w:val="24"/>
                <w:highlight w:val="none"/>
                <w:lang w:val="en-US" w:eastAsia="zh-CN"/>
              </w:rPr>
              <w:t>2.1</w:t>
            </w:r>
          </w:p>
        </w:tc>
        <w:tc>
          <w:tcPr>
            <w:tcW w:w="1688" w:type="dxa"/>
            <w:noWrap w:val="0"/>
            <w:vAlign w:val="center"/>
          </w:tcPr>
          <w:p>
            <w:pPr>
              <w:widowControl/>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评审因素</w:t>
            </w:r>
          </w:p>
        </w:tc>
        <w:tc>
          <w:tcPr>
            <w:tcW w:w="6611" w:type="dxa"/>
            <w:noWrap w:val="0"/>
            <w:vAlign w:val="center"/>
          </w:tcPr>
          <w:p>
            <w:pPr>
              <w:widowControl/>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5" w:type="dxa"/>
            <w:vMerge w:val="restart"/>
            <w:noWrap w:val="0"/>
            <w:vAlign w:val="center"/>
          </w:tcPr>
          <w:p>
            <w:pPr>
              <w:widowControl/>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2.1.</w:t>
            </w:r>
            <w:r>
              <w:rPr>
                <w:rFonts w:hint="eastAsia" w:ascii="宋体" w:hAnsi="宋体" w:eastAsia="宋体" w:cs="宋体"/>
                <w:color w:val="000000"/>
                <w:sz w:val="24"/>
                <w:szCs w:val="24"/>
                <w:highlight w:val="none"/>
                <w:lang w:val="en-US" w:eastAsia="zh-CN"/>
              </w:rPr>
              <w:t>1</w:t>
            </w:r>
          </w:p>
        </w:tc>
        <w:tc>
          <w:tcPr>
            <w:tcW w:w="846" w:type="dxa"/>
            <w:vMerge w:val="restart"/>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资格</w:t>
            </w:r>
            <w:r>
              <w:rPr>
                <w:rFonts w:hint="eastAsia" w:ascii="宋体" w:hAnsi="宋体" w:eastAsia="宋体" w:cs="宋体"/>
                <w:color w:val="000000"/>
                <w:sz w:val="24"/>
                <w:szCs w:val="24"/>
                <w:highlight w:val="none"/>
              </w:rPr>
              <w:t>性评审标准</w:t>
            </w:r>
          </w:p>
        </w:tc>
        <w:tc>
          <w:tcPr>
            <w:tcW w:w="1688" w:type="dxa"/>
            <w:noWrap w:val="0"/>
            <w:vAlign w:val="center"/>
          </w:tcPr>
          <w:p>
            <w:pPr>
              <w:snapToGrid w:val="0"/>
              <w:spacing w:line="288"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营业执照</w:t>
            </w:r>
          </w:p>
        </w:tc>
        <w:tc>
          <w:tcPr>
            <w:tcW w:w="6611" w:type="dxa"/>
            <w:noWrap w:val="0"/>
            <w:vAlign w:val="center"/>
          </w:tcPr>
          <w:p>
            <w:pPr>
              <w:spacing w:line="360" w:lineRule="auto"/>
              <w:outlineLvl w:val="1"/>
              <w:rPr>
                <w:rFonts w:hint="eastAsia" w:ascii="宋体" w:hAnsi="宋体" w:eastAsia="宋体" w:cs="宋体"/>
                <w:color w:val="000000"/>
                <w:sz w:val="24"/>
                <w:szCs w:val="24"/>
                <w:highlight w:val="none"/>
                <w:lang w:val="en-US" w:eastAsia="zh-CN" w:bidi="ar"/>
              </w:rPr>
            </w:pPr>
            <w:r>
              <w:rPr>
                <w:rFonts w:hint="eastAsia" w:ascii="宋体" w:hAnsi="宋体" w:eastAsia="宋体" w:cs="宋体"/>
                <w:color w:val="000000"/>
                <w:sz w:val="24"/>
                <w:szCs w:val="24"/>
                <w:highlight w:val="none"/>
                <w:lang w:val="en-US" w:bidi="ar"/>
              </w:rPr>
              <w:t>具有有效的营业执照、组织机构代码证、税务登记证（或三证合一的营业执照）；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lang w:eastAsia="zh-CN"/>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财务状况</w:t>
            </w:r>
          </w:p>
        </w:tc>
        <w:tc>
          <w:tcPr>
            <w:tcW w:w="6611" w:type="dxa"/>
            <w:noWrap w:val="0"/>
            <w:vAlign w:val="center"/>
          </w:tcPr>
          <w:p>
            <w:pPr>
              <w:spacing w:line="360" w:lineRule="auto"/>
              <w:outlineLvl w:val="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提供</w:t>
            </w:r>
            <w:r>
              <w:rPr>
                <w:rFonts w:hint="eastAsia" w:ascii="宋体" w:hAnsi="宋体" w:eastAsia="宋体" w:cs="宋体"/>
                <w:sz w:val="24"/>
                <w:szCs w:val="24"/>
                <w:highlight w:val="none"/>
              </w:rPr>
              <w:t>2020年度经会计师事务所或审计机构审计的年度财务审计报告或基本户开户行出具的资信证明</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lang w:eastAsia="zh-CN"/>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依法缴纳税收和社会保障资金</w:t>
            </w:r>
          </w:p>
        </w:tc>
        <w:tc>
          <w:tcPr>
            <w:tcW w:w="66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提供20</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lang w:val="en-US"/>
              </w:rPr>
              <w:t>年以来任意</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rPr>
              <w:t>个月依法缴纳税收及依法缴纳社会保障资金的证明材料；</w:t>
            </w:r>
            <w:r>
              <w:rPr>
                <w:rFonts w:hint="eastAsia" w:ascii="宋体" w:hAnsi="宋体" w:eastAsia="宋体" w:cs="宋体"/>
                <w:sz w:val="24"/>
                <w:szCs w:val="24"/>
                <w:highlight w:val="none"/>
              </w:rPr>
              <w:t>(依法免税或不需要缴纳社会保障资金的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，应提供相应</w:t>
            </w:r>
            <w:r>
              <w:rPr>
                <w:rFonts w:hint="eastAsia" w:ascii="宋体" w:hAnsi="宋体" w:eastAsia="宋体" w:cs="宋体"/>
                <w:sz w:val="24"/>
                <w:szCs w:val="24"/>
                <w:highlight w:val="none"/>
                <w:lang w:eastAsia="zh-CN"/>
              </w:rPr>
              <w:t>证明</w:t>
            </w:r>
            <w:r>
              <w:rPr>
                <w:rFonts w:hint="eastAsia" w:ascii="宋体" w:hAnsi="宋体" w:eastAsia="宋体" w:cs="宋体"/>
                <w:sz w:val="24"/>
                <w:szCs w:val="24"/>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lang w:eastAsia="zh-CN"/>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履约能力</w:t>
            </w:r>
          </w:p>
        </w:tc>
        <w:tc>
          <w:tcPr>
            <w:tcW w:w="66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提供具有履行合同所必需的设备和专业技术能力的</w:t>
            </w:r>
            <w:r>
              <w:rPr>
                <w:rFonts w:hint="eastAsia" w:ascii="宋体" w:hAnsi="宋体" w:eastAsia="宋体" w:cs="宋体"/>
                <w:sz w:val="24"/>
                <w:szCs w:val="24"/>
                <w:highlight w:val="none"/>
                <w:lang w:val="en-US" w:eastAsia="zh-CN"/>
              </w:rPr>
              <w:t>相关证明材料或</w:t>
            </w:r>
            <w:r>
              <w:rPr>
                <w:rFonts w:hint="eastAsia" w:ascii="宋体" w:hAnsi="宋体" w:eastAsia="宋体" w:cs="宋体"/>
                <w:sz w:val="24"/>
                <w:szCs w:val="24"/>
                <w:highlight w:val="none"/>
                <w:lang w:val="en-US"/>
              </w:rPr>
              <w:t>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lang w:eastAsia="zh-CN"/>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无违法声明</w:t>
            </w:r>
          </w:p>
        </w:tc>
        <w:tc>
          <w:tcPr>
            <w:tcW w:w="66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参加政府采购活动前三年内，在经营活动中没有重大违法记录，提供没有重大违法记录书面声明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705" w:type="dxa"/>
            <w:vMerge w:val="continue"/>
            <w:noWrap w:val="0"/>
            <w:vAlign w:val="center"/>
          </w:tcPr>
          <w:p>
            <w:pPr>
              <w:widowControl/>
              <w:rPr>
                <w:rFonts w:hint="eastAsia" w:ascii="宋体" w:hAnsi="宋体" w:eastAsia="宋体" w:cs="宋体"/>
                <w:color w:val="000000"/>
                <w:sz w:val="24"/>
                <w:szCs w:val="24"/>
                <w:highlight w:val="none"/>
              </w:rPr>
            </w:pPr>
          </w:p>
        </w:tc>
        <w:tc>
          <w:tcPr>
            <w:tcW w:w="846" w:type="dxa"/>
            <w:vMerge w:val="continue"/>
            <w:noWrap w:val="0"/>
            <w:vAlign w:val="center"/>
          </w:tcPr>
          <w:p>
            <w:pPr>
              <w:widowControl/>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信用截图</w:t>
            </w:r>
          </w:p>
        </w:tc>
        <w:tc>
          <w:tcPr>
            <w:tcW w:w="6611" w:type="dxa"/>
            <w:noWrap w:val="0"/>
            <w:vAlign w:val="center"/>
          </w:tcPr>
          <w:p>
            <w:pPr>
              <w:spacing w:line="360" w:lineRule="auto"/>
              <w:outlineLvl w:val="1"/>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根据《关于在政府采购活动中查询及使用信用记录有关问题的通知》(财库[2016]125 号)和豫财购【2016】15 号的规定，对列入失信被执行人和重大税收违法案件当事人名单（查 询网址“信用中国”网（www.creditchina.gov.cn）、政府采购严重违法失信行为记录名单（查 询网址“中国政府采购”网（www.ccgp.gov.cn））的供应商拒绝其参与本项目。注：(采购人、代理机构在开标后对所有投标供应商信用记录进行查询，并将查询结果 网页打印存档，投标供应商不良信用记录以代理机构开标后查询结果为准。)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705" w:type="dxa"/>
            <w:vMerge w:val="continue"/>
            <w:noWrap w:val="0"/>
            <w:vAlign w:val="center"/>
          </w:tcPr>
          <w:p>
            <w:pPr>
              <w:widowControl/>
              <w:rPr>
                <w:rFonts w:hint="eastAsia" w:ascii="宋体" w:hAnsi="宋体" w:eastAsia="宋体" w:cs="宋体"/>
                <w:color w:val="000000"/>
                <w:sz w:val="24"/>
                <w:szCs w:val="24"/>
                <w:highlight w:val="none"/>
              </w:rPr>
            </w:pPr>
          </w:p>
        </w:tc>
        <w:tc>
          <w:tcPr>
            <w:tcW w:w="846" w:type="dxa"/>
            <w:vMerge w:val="continue"/>
            <w:noWrap w:val="0"/>
            <w:vAlign w:val="center"/>
          </w:tcPr>
          <w:p>
            <w:pPr>
              <w:widowControl/>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其他要求</w:t>
            </w:r>
          </w:p>
        </w:tc>
        <w:tc>
          <w:tcPr>
            <w:tcW w:w="6611" w:type="dxa"/>
            <w:noWrap w:val="0"/>
            <w:vAlign w:val="center"/>
          </w:tcPr>
          <w:p>
            <w:pPr>
              <w:spacing w:line="360" w:lineRule="auto"/>
              <w:outlineLvl w:val="1"/>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单位负责人为同一人或者存在控股、管理关系的不同单位，不得同时参加本次同一合同项下采购活动【提供“国家企业信用信息公示系统”中查询网页截图（需包含公司基本信息、股东信息及股权变更信息）】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5" w:type="dxa"/>
            <w:vMerge w:val="continue"/>
            <w:noWrap w:val="0"/>
            <w:vAlign w:val="center"/>
          </w:tcPr>
          <w:p>
            <w:pPr>
              <w:widowControl/>
              <w:rPr>
                <w:rFonts w:hint="eastAsia" w:ascii="宋体" w:hAnsi="宋体" w:eastAsia="宋体" w:cs="宋体"/>
                <w:color w:val="000000"/>
                <w:sz w:val="24"/>
                <w:szCs w:val="24"/>
                <w:highlight w:val="none"/>
              </w:rPr>
            </w:pPr>
          </w:p>
        </w:tc>
        <w:tc>
          <w:tcPr>
            <w:tcW w:w="846" w:type="dxa"/>
            <w:vMerge w:val="continue"/>
            <w:noWrap w:val="0"/>
            <w:vAlign w:val="center"/>
          </w:tcPr>
          <w:p>
            <w:pPr>
              <w:widowControl/>
              <w:rPr>
                <w:rFonts w:hint="eastAsia" w:ascii="宋体" w:hAnsi="宋体" w:eastAsia="宋体" w:cs="宋体"/>
                <w:color w:val="000000"/>
                <w:sz w:val="24"/>
                <w:szCs w:val="24"/>
                <w:highlight w:val="none"/>
              </w:rPr>
            </w:pPr>
          </w:p>
        </w:tc>
        <w:tc>
          <w:tcPr>
            <w:tcW w:w="1688" w:type="dxa"/>
            <w:noWrap w:val="0"/>
            <w:vAlign w:val="center"/>
          </w:tcPr>
          <w:p>
            <w:pPr>
              <w:widowControl/>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rPr>
              <w:t>联合体</w:t>
            </w:r>
            <w:r>
              <w:rPr>
                <w:rFonts w:hint="eastAsia" w:ascii="宋体" w:hAnsi="宋体" w:eastAsia="宋体" w:cs="宋体"/>
                <w:sz w:val="24"/>
                <w:szCs w:val="24"/>
                <w:highlight w:val="none"/>
                <w:lang w:val="en-US" w:eastAsia="zh-CN"/>
              </w:rPr>
              <w:t>投标</w:t>
            </w:r>
          </w:p>
        </w:tc>
        <w:tc>
          <w:tcPr>
            <w:tcW w:w="6611" w:type="dxa"/>
            <w:noWrap w:val="0"/>
            <w:vAlign w:val="center"/>
          </w:tcPr>
          <w:p>
            <w:pPr>
              <w:autoSpaceDE/>
              <w:autoSpaceDN/>
              <w:spacing w:line="360" w:lineRule="auto"/>
              <w:ind w:firstLine="240" w:firstLineChars="1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5" w:type="dxa"/>
            <w:vMerge w:val="restart"/>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w:t>
            </w:r>
            <w:r>
              <w:rPr>
                <w:rFonts w:hint="eastAsia" w:ascii="宋体" w:hAnsi="宋体" w:eastAsia="宋体" w:cs="宋体"/>
                <w:color w:val="000000"/>
                <w:sz w:val="24"/>
                <w:szCs w:val="24"/>
                <w:highlight w:val="none"/>
                <w:lang w:val="en-US"/>
              </w:rPr>
              <w:t>2</w:t>
            </w:r>
          </w:p>
        </w:tc>
        <w:tc>
          <w:tcPr>
            <w:tcW w:w="846" w:type="dxa"/>
            <w:vMerge w:val="restart"/>
            <w:noWrap w:val="0"/>
            <w:vAlign w:val="center"/>
          </w:tcPr>
          <w:p>
            <w:pPr>
              <w:widowControl/>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符合性评审标准</w:t>
            </w:r>
          </w:p>
        </w:tc>
        <w:tc>
          <w:tcPr>
            <w:tcW w:w="1688" w:type="dxa"/>
            <w:noWrap w:val="0"/>
            <w:vAlign w:val="center"/>
          </w:tcPr>
          <w:p>
            <w:pPr>
              <w:snapToGrid w:val="0"/>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w:t>
            </w:r>
          </w:p>
        </w:tc>
        <w:tc>
          <w:tcPr>
            <w:tcW w:w="6611" w:type="dxa"/>
            <w:noWrap w:val="0"/>
            <w:vAlign w:val="bottom"/>
          </w:tcPr>
          <w:p>
            <w:p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288" w:lineRule="auto"/>
              <w:jc w:val="center"/>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函签字盖章</w:t>
            </w:r>
          </w:p>
        </w:tc>
        <w:tc>
          <w:tcPr>
            <w:tcW w:w="6611" w:type="dxa"/>
            <w:noWrap w:val="0"/>
            <w:vAlign w:val="bottom"/>
          </w:tcPr>
          <w:p>
            <w:p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加盖单位公章并有法定代表人或其委托代理人签字或盖章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格式</w:t>
            </w:r>
          </w:p>
        </w:tc>
        <w:tc>
          <w:tcPr>
            <w:tcW w:w="6611" w:type="dxa"/>
            <w:noWrap w:val="0"/>
            <w:vAlign w:val="bottom"/>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符合第</w:t>
            </w:r>
            <w:r>
              <w:rPr>
                <w:rFonts w:hint="eastAsia" w:ascii="宋体" w:hAnsi="宋体" w:eastAsia="宋体" w:cs="宋体"/>
                <w:sz w:val="24"/>
                <w:szCs w:val="24"/>
                <w:highlight w:val="none"/>
                <w:lang w:eastAsia="zh-CN"/>
              </w:rPr>
              <w:t>六</w:t>
            </w:r>
            <w:r>
              <w:rPr>
                <w:rFonts w:hint="eastAsia" w:ascii="宋体" w:hAnsi="宋体" w:eastAsia="宋体" w:cs="宋体"/>
                <w:sz w:val="24"/>
                <w:szCs w:val="24"/>
                <w:highlight w:val="none"/>
              </w:rPr>
              <w:t>章“</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报价</w:t>
            </w:r>
          </w:p>
        </w:tc>
        <w:tc>
          <w:tcPr>
            <w:tcW w:w="6611" w:type="dxa"/>
            <w:noWrap w:val="0"/>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已在</w:t>
            </w:r>
            <w:r>
              <w:rPr>
                <w:rFonts w:hint="eastAsia" w:ascii="宋体" w:hAnsi="宋体" w:eastAsia="宋体" w:cs="宋体"/>
                <w:sz w:val="24"/>
                <w:szCs w:val="24"/>
                <w:highlight w:val="none"/>
                <w:lang w:eastAsia="zh-CN"/>
              </w:rPr>
              <w:t>投标函</w:t>
            </w:r>
            <w:r>
              <w:rPr>
                <w:rFonts w:hint="eastAsia" w:ascii="宋体" w:hAnsi="宋体" w:eastAsia="宋体" w:cs="宋体"/>
                <w:sz w:val="24"/>
                <w:szCs w:val="24"/>
                <w:highlight w:val="none"/>
              </w:rPr>
              <w:t>中报价，报价唯一且不超过最高投标限价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内容</w:t>
            </w:r>
          </w:p>
        </w:tc>
        <w:tc>
          <w:tcPr>
            <w:tcW w:w="6611" w:type="dxa"/>
            <w:noWrap w:val="0"/>
            <w:vAlign w:val="center"/>
          </w:tcPr>
          <w:p>
            <w:pPr>
              <w:snapToGrid w:val="0"/>
              <w:spacing w:line="360" w:lineRule="auto"/>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rPr>
              <w:t>符合第二章“</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r>
              <w:rPr>
                <w:rFonts w:hint="eastAsia" w:ascii="宋体" w:hAnsi="宋体" w:eastAsia="宋体" w:cs="宋体"/>
                <w:color w:val="000000"/>
                <w:sz w:val="24"/>
                <w:szCs w:val="24"/>
                <w:highlight w:val="none"/>
                <w:lang w:val="en-US" w:eastAsia="zh-CN"/>
              </w:rPr>
              <w:t>1.3.1项</w:t>
            </w:r>
            <w:r>
              <w:rPr>
                <w:rFonts w:hint="eastAsia" w:ascii="宋体" w:hAnsi="宋体" w:eastAsia="宋体" w:cs="宋体"/>
                <w:color w:val="000000"/>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widowControl/>
              <w:rPr>
                <w:rFonts w:hint="eastAsia"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rPr>
              <w:t>质量要求</w:t>
            </w:r>
          </w:p>
        </w:tc>
        <w:tc>
          <w:tcPr>
            <w:tcW w:w="6611" w:type="dxa"/>
            <w:noWrap w:val="0"/>
            <w:vAlign w:val="center"/>
          </w:tcPr>
          <w:p>
            <w:pPr>
              <w:widowControl/>
              <w:autoSpaceDE/>
              <w:autoSpaceDN/>
              <w:spacing w:line="360" w:lineRule="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t>符合第二章“</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r>
              <w:rPr>
                <w:rFonts w:hint="eastAsia" w:ascii="宋体" w:hAnsi="宋体" w:eastAsia="宋体" w:cs="宋体"/>
                <w:color w:val="000000"/>
                <w:sz w:val="24"/>
                <w:szCs w:val="24"/>
                <w:highlight w:val="none"/>
                <w:lang w:val="en-US" w:eastAsia="zh-CN"/>
              </w:rPr>
              <w:t>1.3.2项</w:t>
            </w:r>
            <w:r>
              <w:rPr>
                <w:rFonts w:hint="eastAsia" w:ascii="宋体" w:hAnsi="宋体" w:eastAsia="宋体" w:cs="宋体"/>
                <w:color w:val="000000"/>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snapToGrid w:val="0"/>
              <w:spacing w:line="360" w:lineRule="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交货及安装期</w:t>
            </w:r>
          </w:p>
        </w:tc>
        <w:tc>
          <w:tcPr>
            <w:tcW w:w="6611" w:type="dxa"/>
            <w:noWrap w:val="0"/>
            <w:vAlign w:val="center"/>
          </w:tcPr>
          <w:p>
            <w:pPr>
              <w:snapToGrid w:val="0"/>
              <w:spacing w:line="360" w:lineRule="auto"/>
              <w:rPr>
                <w:rFonts w:hint="eastAsia" w:ascii="宋体" w:hAnsi="宋体" w:eastAsia="宋体" w:cs="宋体"/>
                <w:sz w:val="24"/>
                <w:szCs w:val="24"/>
                <w:highlight w:val="none"/>
                <w:lang w:val="en-US" w:eastAsia="en-US" w:bidi="ar-SA"/>
              </w:rPr>
            </w:pPr>
            <w:r>
              <w:rPr>
                <w:rFonts w:hint="eastAsia" w:ascii="宋体" w:hAnsi="宋体" w:eastAsia="宋体" w:cs="宋体"/>
                <w:color w:val="000000"/>
                <w:sz w:val="24"/>
                <w:szCs w:val="24"/>
                <w:highlight w:val="none"/>
              </w:rPr>
              <w:t>符合第二章“</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须知前附表”</w:t>
            </w:r>
            <w:r>
              <w:rPr>
                <w:rFonts w:hint="eastAsia" w:ascii="宋体" w:hAnsi="宋体" w:eastAsia="宋体" w:cs="宋体"/>
                <w:color w:val="000000"/>
                <w:sz w:val="24"/>
                <w:szCs w:val="24"/>
                <w:highlight w:val="none"/>
                <w:lang w:val="en-US" w:eastAsia="zh-CN"/>
              </w:rPr>
              <w:t>1.3.3项</w:t>
            </w:r>
            <w:r>
              <w:rPr>
                <w:rFonts w:hint="eastAsia" w:ascii="宋体" w:hAnsi="宋体" w:eastAsia="宋体" w:cs="宋体"/>
                <w:color w:val="000000"/>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5"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846" w:type="dxa"/>
            <w:vMerge w:val="continue"/>
            <w:noWrap w:val="0"/>
            <w:vAlign w:val="center"/>
          </w:tcPr>
          <w:p>
            <w:pPr>
              <w:widowControl/>
              <w:jc w:val="center"/>
              <w:rPr>
                <w:rFonts w:hint="eastAsia" w:ascii="宋体" w:hAnsi="宋体" w:eastAsia="宋体" w:cs="宋体"/>
                <w:color w:val="000000"/>
                <w:sz w:val="24"/>
                <w:szCs w:val="24"/>
                <w:highlight w:val="none"/>
              </w:rPr>
            </w:pPr>
          </w:p>
        </w:tc>
        <w:tc>
          <w:tcPr>
            <w:tcW w:w="1688" w:type="dxa"/>
            <w:noWrap w:val="0"/>
            <w:vAlign w:val="center"/>
          </w:tcPr>
          <w:p>
            <w:pPr>
              <w:pStyle w:val="24"/>
              <w:jc w:val="both"/>
              <w:rPr>
                <w:rFonts w:hint="eastAsia" w:ascii="宋体" w:hAnsi="宋体" w:eastAsia="宋体" w:cs="宋体"/>
                <w:color w:val="auto"/>
                <w:sz w:val="24"/>
                <w:szCs w:val="24"/>
                <w:highlight w:val="none"/>
                <w:lang w:val="zh-CN" w:bidi="zh-CN"/>
              </w:rPr>
            </w:pPr>
            <w:r>
              <w:rPr>
                <w:rFonts w:hint="eastAsia" w:ascii="宋体" w:hAnsi="宋体" w:eastAsia="宋体" w:cs="宋体"/>
                <w:color w:val="auto"/>
                <w:sz w:val="24"/>
                <w:szCs w:val="24"/>
                <w:highlight w:val="none"/>
                <w:lang w:val="zh-CN" w:bidi="zh-CN"/>
              </w:rPr>
              <w:t>投标有效期</w:t>
            </w:r>
          </w:p>
        </w:tc>
        <w:tc>
          <w:tcPr>
            <w:tcW w:w="6611" w:type="dxa"/>
            <w:noWrap w:val="0"/>
            <w:vAlign w:val="center"/>
          </w:tcPr>
          <w:p>
            <w:pPr>
              <w:pStyle w:val="24"/>
              <w:rPr>
                <w:rFonts w:hint="eastAsia" w:ascii="宋体" w:hAnsi="宋体" w:eastAsia="宋体" w:cs="宋体"/>
                <w:color w:val="auto"/>
                <w:sz w:val="24"/>
                <w:szCs w:val="24"/>
                <w:highlight w:val="none"/>
                <w:lang w:val="zh-CN" w:bidi="zh-CN"/>
              </w:rPr>
            </w:pPr>
            <w:r>
              <w:rPr>
                <w:rFonts w:hint="eastAsia" w:ascii="宋体" w:hAnsi="宋体" w:eastAsia="宋体" w:cs="宋体"/>
                <w:color w:val="000000"/>
                <w:kern w:val="2"/>
                <w:sz w:val="24"/>
                <w:szCs w:val="24"/>
                <w:highlight w:val="none"/>
                <w:lang w:val="en-US" w:eastAsia="zh-CN" w:bidi="ar-SA"/>
              </w:rPr>
              <w:t>符合第二章“供应商须知前附表”3.3.1项要求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51" w:type="dxa"/>
            <w:gridSpan w:val="2"/>
            <w:noWrap w:val="0"/>
            <w:vAlign w:val="center"/>
          </w:tcPr>
          <w:p>
            <w:pPr>
              <w:adjustRightInd w:val="0"/>
              <w:spacing w:line="440" w:lineRule="exact"/>
              <w:jc w:val="center"/>
              <w:rPr>
                <w:rFonts w:hint="eastAsia" w:ascii="宋体" w:hAnsi="宋体" w:eastAsia="宋体" w:cs="宋体"/>
                <w:b/>
                <w:sz w:val="24"/>
                <w:szCs w:val="24"/>
                <w:highlight w:val="none"/>
              </w:rPr>
            </w:pPr>
            <w:r>
              <w:rPr>
                <w:rFonts w:hint="eastAsia" w:ascii="宋体" w:hAnsi="宋体" w:eastAsia="宋体" w:cs="宋体"/>
                <w:sz w:val="24"/>
                <w:szCs w:val="24"/>
                <w:highlight w:val="none"/>
              </w:rPr>
              <w:t>优先采购</w:t>
            </w:r>
          </w:p>
        </w:tc>
        <w:tc>
          <w:tcPr>
            <w:tcW w:w="8299" w:type="dxa"/>
            <w:gridSpan w:val="2"/>
            <w:noWrap w:val="0"/>
            <w:vAlign w:val="center"/>
          </w:tcPr>
          <w:p>
            <w:pPr>
              <w:adjustRightInd w:val="0"/>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1.1鼓励节能政策：在技术、服务等指标同等条件下，优先采购属于国家公布的节能清单中产品。</w:t>
            </w:r>
          </w:p>
          <w:p>
            <w:pPr>
              <w:adjustRightInd w:val="0"/>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1.2鼓励环保政策：在性能、技术、服务等指标同等条件下，优先采购国家公布的环保产品清单中的产品。</w:t>
            </w:r>
          </w:p>
          <w:p>
            <w:pPr>
              <w:adjustRightInd w:val="0"/>
              <w:spacing w:line="440" w:lineRule="exact"/>
              <w:rPr>
                <w:rFonts w:hint="eastAsia" w:ascii="宋体" w:hAnsi="宋体" w:eastAsia="宋体" w:cs="宋体"/>
                <w:b/>
                <w:sz w:val="24"/>
                <w:szCs w:val="24"/>
                <w:highlight w:val="none"/>
              </w:rPr>
            </w:pPr>
            <w:r>
              <w:rPr>
                <w:rFonts w:hint="eastAsia" w:ascii="宋体" w:hAnsi="宋体" w:eastAsia="宋体" w:cs="宋体"/>
                <w:sz w:val="24"/>
                <w:szCs w:val="24"/>
                <w:highlight w:val="none"/>
              </w:rPr>
              <w:t>1.3扶持中小企业政策：评审时中型、小型和微型企业产品享受价格折扣（如有）。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51" w:type="dxa"/>
            <w:gridSpan w:val="2"/>
            <w:noWrap w:val="0"/>
            <w:vAlign w:val="center"/>
          </w:tcPr>
          <w:p>
            <w:pPr>
              <w:adjustRightInd w:val="0"/>
              <w:spacing w:line="440" w:lineRule="exact"/>
              <w:jc w:val="center"/>
              <w:rPr>
                <w:rFonts w:hint="eastAsia" w:ascii="宋体" w:hAnsi="宋体" w:eastAsia="宋体" w:cs="宋体"/>
                <w:b/>
                <w:sz w:val="24"/>
                <w:szCs w:val="24"/>
                <w:highlight w:val="none"/>
              </w:rPr>
            </w:pPr>
            <w:r>
              <w:rPr>
                <w:rFonts w:hint="eastAsia" w:ascii="宋体" w:hAnsi="宋体" w:eastAsia="宋体" w:cs="宋体"/>
                <w:sz w:val="24"/>
                <w:szCs w:val="24"/>
                <w:highlight w:val="none"/>
              </w:rPr>
              <w:t>政策扶持</w:t>
            </w:r>
          </w:p>
        </w:tc>
        <w:tc>
          <w:tcPr>
            <w:tcW w:w="8299" w:type="dxa"/>
            <w:gridSpan w:val="2"/>
            <w:noWrap w:val="0"/>
            <w:vAlign w:val="center"/>
          </w:tcPr>
          <w:p>
            <w:pPr>
              <w:adjustRightInd w:val="0"/>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根据财政部（财库[2020]46号）</w:t>
            </w:r>
            <w:r>
              <w:rPr>
                <w:rFonts w:hint="eastAsia" w:ascii="宋体" w:hAnsi="宋体" w:eastAsia="宋体" w:cs="宋体"/>
                <w:sz w:val="24"/>
                <w:szCs w:val="24"/>
                <w:highlight w:val="none"/>
                <w:lang w:eastAsia="zh-CN"/>
              </w:rPr>
              <w:t>文</w:t>
            </w:r>
            <w:r>
              <w:rPr>
                <w:rFonts w:hint="eastAsia" w:ascii="宋体" w:hAnsi="宋体" w:eastAsia="宋体" w:cs="宋体"/>
                <w:sz w:val="24"/>
                <w:szCs w:val="24"/>
                <w:highlight w:val="none"/>
              </w:rPr>
              <w:t>、省财政厅</w:t>
            </w:r>
            <w:r>
              <w:rPr>
                <w:rFonts w:hint="eastAsia" w:ascii="宋体" w:hAnsi="宋体" w:eastAsia="宋体" w:cs="宋体"/>
                <w:sz w:val="24"/>
                <w:szCs w:val="24"/>
                <w:highlight w:val="none"/>
                <w:lang w:eastAsia="zh-CN"/>
              </w:rPr>
              <w:t>关于</w:t>
            </w:r>
            <w:r>
              <w:rPr>
                <w:rFonts w:hint="eastAsia" w:ascii="宋体" w:hAnsi="宋体" w:eastAsia="宋体" w:cs="宋体"/>
                <w:sz w:val="24"/>
                <w:szCs w:val="24"/>
                <w:highlight w:val="none"/>
              </w:rPr>
              <w:t>贯彻落实《政府采购促进中小企业发展管理办法》的通知规定，对于非专门面向中小企业的项目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采购人、采购代理机构应当对符合《办法》规定的小微企业报价给予6%—10%（工程项目为3%—5%）的扣除，用扣除后的价格参加评审。</w:t>
            </w:r>
            <w:r>
              <w:rPr>
                <w:rFonts w:hint="eastAsia" w:ascii="宋体" w:hAnsi="宋体" w:eastAsia="宋体" w:cs="宋体"/>
                <w:color w:val="auto"/>
                <w:sz w:val="24"/>
                <w:szCs w:val="24"/>
                <w:highlight w:val="none"/>
                <w:lang w:eastAsia="zh-CN"/>
              </w:rPr>
              <w:t>本</w:t>
            </w:r>
            <w:r>
              <w:rPr>
                <w:rFonts w:hint="eastAsia" w:ascii="宋体" w:hAnsi="宋体" w:eastAsia="宋体" w:cs="宋体"/>
                <w:color w:val="auto"/>
                <w:sz w:val="24"/>
                <w:szCs w:val="24"/>
                <w:highlight w:val="none"/>
              </w:rPr>
              <w:t>项目价格扣除比例为</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rPr>
              <w:t>竞争性磋商小</w:t>
            </w:r>
            <w:r>
              <w:rPr>
                <w:rFonts w:hint="eastAsia" w:ascii="宋体" w:hAnsi="宋体" w:eastAsia="宋体" w:cs="宋体"/>
                <w:sz w:val="24"/>
                <w:szCs w:val="24"/>
                <w:highlight w:val="none"/>
                <w:lang w:eastAsia="zh-CN"/>
              </w:rPr>
              <w:t>组</w:t>
            </w:r>
            <w:r>
              <w:rPr>
                <w:rFonts w:hint="eastAsia" w:ascii="宋体" w:hAnsi="宋体" w:eastAsia="宋体" w:cs="宋体"/>
                <w:sz w:val="24"/>
                <w:szCs w:val="24"/>
                <w:highlight w:val="none"/>
              </w:rPr>
              <w:t>用扣除后的价格参与评审。（中小企业需提供中小企业声明函）</w:t>
            </w:r>
          </w:p>
          <w:p>
            <w:pPr>
              <w:adjustRightInd w:val="0"/>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根据《财政部、司法部关于政府采购支持监狱企业发展有关问题的通知》(财库〔2014〕68 号)的规定，提供由省级以上监狱管理局、戒毒管理局（含新疆生产建设兵团）出具的属于监狱企业的证明文件的，监狱企业视同小型、微型企业。</w:t>
            </w:r>
          </w:p>
          <w:p>
            <w:pPr>
              <w:adjustRightInd w:val="0"/>
              <w:spacing w:line="440" w:lineRule="exac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根据《财政部、民政部、中国残疾人联合会关于促进残疾人就业政府采购政策的通知》（财库[2017]141号）的规定，提供《残疾人福利性单位声明函》，并对声明的真实性负责。中标/成交供应商为残疾人福利性单位的，采购人或者其委托的采购代理机构应当随中标/成交结果同时公告其《残疾人福利性单位声明函》，接受社会监督。提供的《残疾人福利性单位声明函》与事实不符的，依照《政府采购法》第七十七条第一款的规定追究法律责任。残疾人福利性单位属于小型、微企业的，不重复享受政策。</w:t>
            </w:r>
          </w:p>
          <w:p>
            <w:pPr>
              <w:adjustRightIn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同一</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（包括联合体）同一产品，小微、监狱、残福企业产品价格扣除优惠只享受一次，不得重复享受。</w:t>
            </w:r>
          </w:p>
        </w:tc>
      </w:tr>
    </w:tbl>
    <w:tbl>
      <w:tblPr>
        <w:tblStyle w:val="17"/>
        <w:tblpPr w:leftFromText="180" w:rightFromText="180" w:vertAnchor="text" w:horzAnchor="page" w:tblpX="1171" w:tblpY="9"/>
        <w:tblOverlap w:val="never"/>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747"/>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51" w:type="dxa"/>
            <w:noWrap w:val="0"/>
            <w:vAlign w:val="center"/>
          </w:tcPr>
          <w:p>
            <w:pPr>
              <w:spacing w:line="276" w:lineRule="auto"/>
              <w:jc w:val="center"/>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条款</w:t>
            </w:r>
          </w:p>
        </w:tc>
        <w:tc>
          <w:tcPr>
            <w:tcW w:w="1747" w:type="dxa"/>
            <w:noWrap w:val="0"/>
            <w:vAlign w:val="center"/>
          </w:tcPr>
          <w:p>
            <w:pPr>
              <w:spacing w:line="276" w:lineRule="auto"/>
              <w:jc w:val="center"/>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条款内容</w:t>
            </w:r>
          </w:p>
        </w:tc>
        <w:tc>
          <w:tcPr>
            <w:tcW w:w="6510" w:type="dxa"/>
            <w:noWrap w:val="0"/>
            <w:vAlign w:val="center"/>
          </w:tcPr>
          <w:p>
            <w:pPr>
              <w:spacing w:line="276" w:lineRule="auto"/>
              <w:jc w:val="center"/>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551" w:type="dxa"/>
            <w:noWrap w:val="0"/>
            <w:vAlign w:val="center"/>
          </w:tcPr>
          <w:p>
            <w:pPr>
              <w:spacing w:line="276"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2.2</w:t>
            </w:r>
          </w:p>
        </w:tc>
        <w:tc>
          <w:tcPr>
            <w:tcW w:w="1747" w:type="dxa"/>
            <w:noWrap w:val="0"/>
            <w:vAlign w:val="center"/>
          </w:tcPr>
          <w:p>
            <w:pPr>
              <w:spacing w:line="276"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分值组成</w:t>
            </w:r>
          </w:p>
          <w:p>
            <w:pPr>
              <w:spacing w:line="276"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（总分100分）</w:t>
            </w:r>
          </w:p>
        </w:tc>
        <w:tc>
          <w:tcPr>
            <w:tcW w:w="6510" w:type="dxa"/>
            <w:noWrap w:val="0"/>
            <w:vAlign w:val="center"/>
          </w:tcPr>
          <w:p>
            <w:pPr>
              <w:spacing w:line="276"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投标报价：30分</w:t>
            </w:r>
          </w:p>
          <w:p>
            <w:pPr>
              <w:spacing w:line="276"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技术部分：50分 </w:t>
            </w:r>
          </w:p>
          <w:p>
            <w:pPr>
              <w:spacing w:line="276"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商务部分：20分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551" w:type="dxa"/>
            <w:noWrap w:val="0"/>
            <w:vAlign w:val="center"/>
          </w:tcPr>
          <w:p>
            <w:pPr>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2.2.1</w:t>
            </w:r>
          </w:p>
          <w:p>
            <w:pPr>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投标报价</w:t>
            </w:r>
          </w:p>
          <w:p>
            <w:pPr>
              <w:spacing w:line="360" w:lineRule="exact"/>
              <w:jc w:val="center"/>
              <w:rPr>
                <w:rFonts w:hint="eastAsia" w:ascii="宋体" w:hAnsi="宋体" w:eastAsia="宋体" w:cs="宋体"/>
                <w:b/>
                <w:bCs/>
                <w:sz w:val="24"/>
                <w:szCs w:val="24"/>
                <w:highlight w:val="none"/>
              </w:rPr>
            </w:pPr>
            <w:r>
              <w:rPr>
                <w:rFonts w:hint="eastAsia" w:ascii="宋体" w:hAnsi="宋体" w:eastAsia="宋体" w:cs="宋体"/>
                <w:sz w:val="24"/>
                <w:szCs w:val="24"/>
                <w:highlight w:val="none"/>
              </w:rPr>
              <w:t>（30分）</w:t>
            </w:r>
          </w:p>
        </w:tc>
        <w:tc>
          <w:tcPr>
            <w:tcW w:w="8257" w:type="dxa"/>
            <w:gridSpan w:val="2"/>
            <w:noWrap w:val="0"/>
            <w:vAlign w:val="top"/>
          </w:tcPr>
          <w:p>
            <w:pPr>
              <w:adjustRightInd w:val="0"/>
              <w:snapToGrid w:val="0"/>
              <w:spacing w:line="312"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1.价格分采用低价优先法计算，即满足招标文件要求且报价最低的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的价格为评标基准价，其价格分为满分。本项目评标基准价满分为30分。</w:t>
            </w:r>
          </w:p>
          <w:p>
            <w:pPr>
              <w:adjustRightInd w:val="0"/>
              <w:snapToGrid w:val="0"/>
              <w:spacing w:line="312"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2.其他有效</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的报价得分统一按下列公式计算：</w:t>
            </w:r>
          </w:p>
          <w:p>
            <w:pPr>
              <w:spacing w:line="360" w:lineRule="exact"/>
              <w:rPr>
                <w:rFonts w:hint="eastAsia" w:ascii="宋体" w:hAnsi="宋体" w:eastAsia="宋体" w:cs="宋体"/>
                <w:b/>
                <w:bCs/>
                <w:sz w:val="24"/>
                <w:szCs w:val="24"/>
                <w:highlight w:val="none"/>
              </w:rPr>
            </w:pPr>
            <w:r>
              <w:rPr>
                <w:rFonts w:hint="eastAsia" w:ascii="宋体" w:hAnsi="宋体" w:eastAsia="宋体" w:cs="宋体"/>
                <w:sz w:val="24"/>
                <w:szCs w:val="24"/>
                <w:highlight w:val="none"/>
              </w:rPr>
              <w:t>（评标基准价/投标报价）×30%*100 （价格分计算保留小数点后两位）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551" w:type="dxa"/>
            <w:vMerge w:val="restart"/>
            <w:tcBorders>
              <w:top w:val="single" w:color="auto" w:sz="4" w:space="0"/>
              <w:left w:val="single" w:color="auto" w:sz="4" w:space="0"/>
              <w:right w:val="single" w:color="auto" w:sz="4" w:space="0"/>
            </w:tcBorders>
            <w:noWrap w:val="0"/>
            <w:vAlign w:val="center"/>
          </w:tcPr>
          <w:p>
            <w:pPr>
              <w:pStyle w:val="9"/>
              <w:spacing w:line="4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2.2.2</w:t>
            </w:r>
          </w:p>
          <w:p>
            <w:pPr>
              <w:pStyle w:val="9"/>
              <w:spacing w:line="4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技术部分</w:t>
            </w:r>
          </w:p>
          <w:p>
            <w:pPr>
              <w:pStyle w:val="9"/>
              <w:spacing w:line="4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（50分）</w:t>
            </w:r>
          </w:p>
        </w:tc>
        <w:tc>
          <w:tcPr>
            <w:tcW w:w="1747" w:type="dxa"/>
            <w:tcBorders>
              <w:top w:val="single" w:color="auto" w:sz="4" w:space="0"/>
              <w:left w:val="single" w:color="auto" w:sz="4" w:space="0"/>
              <w:right w:val="single" w:color="auto" w:sz="4" w:space="0"/>
            </w:tcBorders>
            <w:noWrap w:val="0"/>
            <w:vAlign w:val="center"/>
          </w:tcPr>
          <w:p>
            <w:pPr>
              <w:adjustRightInd w:val="0"/>
              <w:snapToGrid w:val="0"/>
              <w:spacing w:line="312"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技术参数</w:t>
            </w:r>
          </w:p>
          <w:p>
            <w:pPr>
              <w:adjustRightInd w:val="0"/>
              <w:snapToGrid w:val="0"/>
              <w:spacing w:line="312"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分）</w:t>
            </w:r>
          </w:p>
        </w:tc>
        <w:tc>
          <w:tcPr>
            <w:tcW w:w="651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12"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投标产品技术参数符合招标文件要求，全部满足的得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p>
            <w:pPr>
              <w:adjustRightInd w:val="0"/>
              <w:snapToGrid w:val="0"/>
              <w:spacing w:line="312"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投标产品技术参数优于招标文件要求的</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每项加</w:t>
            </w:r>
            <w:r>
              <w:rPr>
                <w:rFonts w:hint="eastAsia" w:ascii="宋体" w:hAnsi="宋体" w:eastAsia="宋体" w:cs="宋体"/>
                <w:sz w:val="24"/>
                <w:szCs w:val="24"/>
                <w:highlight w:val="none"/>
                <w:lang w:val="en-US" w:eastAsia="zh-CN"/>
              </w:rPr>
              <w:t>1分，最多加5分</w:t>
            </w:r>
            <w:r>
              <w:rPr>
                <w:rFonts w:hint="eastAsia" w:ascii="宋体" w:hAnsi="宋体" w:eastAsia="宋体" w:cs="宋体"/>
                <w:sz w:val="24"/>
                <w:szCs w:val="24"/>
                <w:highlight w:val="none"/>
                <w:lang w:eastAsia="zh-CN"/>
              </w:rPr>
              <w:t>；</w:t>
            </w:r>
          </w:p>
          <w:p>
            <w:pPr>
              <w:adjustRightInd w:val="0"/>
              <w:snapToGrid w:val="0"/>
              <w:spacing w:line="312"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3.投标产品技术参数不满足招标文件要求的，得0分。</w:t>
            </w:r>
            <w:r>
              <w:rPr>
                <w:rFonts w:hint="eastAsia" w:ascii="宋体" w:hAnsi="宋体" w:eastAsia="宋体" w:cs="宋体"/>
                <w:b/>
                <w:bCs/>
                <w:sz w:val="24"/>
                <w:szCs w:val="24"/>
                <w:highlight w:val="none"/>
                <w:lang w:eastAsia="zh-CN"/>
              </w:rPr>
              <w:t>（注</w:t>
            </w:r>
            <w:r>
              <w:rPr>
                <w:rFonts w:hint="eastAsia" w:ascii="宋体" w:hAnsi="宋体" w:eastAsia="宋体" w:cs="宋体"/>
                <w:sz w:val="24"/>
                <w:szCs w:val="24"/>
                <w:highlight w:val="none"/>
                <w:lang w:val="en-US" w:eastAsia="zh-CN"/>
              </w:rPr>
              <w:t>：</w:t>
            </w:r>
            <w:r>
              <w:rPr>
                <w:rFonts w:hint="eastAsia" w:ascii="宋体" w:hAnsi="宋体" w:eastAsia="宋体" w:cs="宋体"/>
                <w:b/>
                <w:bCs/>
                <w:sz w:val="24"/>
                <w:szCs w:val="24"/>
                <w:highlight w:val="none"/>
                <w:lang w:val="en-US" w:eastAsia="zh-CN"/>
              </w:rPr>
              <w:t>技术参数必须如实响应，</w:t>
            </w:r>
            <w:r>
              <w:rPr>
                <w:rFonts w:hint="eastAsia" w:ascii="宋体" w:hAnsi="宋体" w:eastAsia="宋体" w:cs="宋体"/>
                <w:b/>
                <w:bCs/>
                <w:sz w:val="24"/>
                <w:szCs w:val="24"/>
                <w:highlight w:val="none"/>
              </w:rPr>
              <w:t>如发现虚假响应，则取消投标资格）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51" w:type="dxa"/>
            <w:vMerge w:val="continue"/>
            <w:tcBorders>
              <w:left w:val="single" w:color="auto" w:sz="4" w:space="0"/>
              <w:right w:val="single" w:color="auto" w:sz="4" w:space="0"/>
            </w:tcBorders>
            <w:noWrap w:val="0"/>
            <w:vAlign w:val="center"/>
          </w:tcPr>
          <w:p>
            <w:pPr>
              <w:pStyle w:val="9"/>
              <w:spacing w:line="420" w:lineRule="exact"/>
              <w:jc w:val="center"/>
              <w:rPr>
                <w:rFonts w:hint="eastAsia" w:ascii="宋体" w:hAnsi="宋体" w:eastAsia="宋体" w:cs="宋体"/>
                <w:sz w:val="24"/>
                <w:szCs w:val="24"/>
                <w:highlight w:val="none"/>
              </w:rPr>
            </w:pPr>
          </w:p>
        </w:tc>
        <w:tc>
          <w:tcPr>
            <w:tcW w:w="1747" w:type="dxa"/>
            <w:tcBorders>
              <w:left w:val="single" w:color="auto" w:sz="4" w:space="0"/>
              <w:right w:val="single" w:color="auto" w:sz="4" w:space="0"/>
            </w:tcBorders>
            <w:noWrap w:val="0"/>
            <w:vAlign w:val="center"/>
          </w:tcPr>
          <w:p>
            <w:pPr>
              <w:pStyle w:val="24"/>
              <w:spacing w:line="24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设备技术指标</w:t>
            </w:r>
          </w:p>
          <w:p>
            <w:pPr>
              <w:pStyle w:val="24"/>
              <w:spacing w:line="240" w:lineRule="atLeast"/>
              <w:jc w:val="center"/>
              <w:rPr>
                <w:rFonts w:hint="eastAsia" w:ascii="宋体" w:hAnsi="宋体" w:eastAsia="宋体" w:cs="宋体"/>
                <w:sz w:val="24"/>
                <w:szCs w:val="24"/>
                <w:highlight w:val="none"/>
              </w:rPr>
            </w:pPr>
            <w:r>
              <w:rPr>
                <w:rFonts w:hint="eastAsia" w:ascii="宋体" w:hAnsi="宋体" w:eastAsia="宋体" w:cs="宋体"/>
                <w:color w:val="auto"/>
                <w:kern w:val="2"/>
                <w:sz w:val="24"/>
                <w:szCs w:val="24"/>
                <w:highlight w:val="none"/>
              </w:rPr>
              <w:t>（1</w:t>
            </w:r>
            <w:r>
              <w:rPr>
                <w:rFonts w:hint="eastAsia" w:hAnsi="宋体" w:cs="宋体"/>
                <w:color w:val="auto"/>
                <w:kern w:val="2"/>
                <w:sz w:val="24"/>
                <w:szCs w:val="24"/>
                <w:highlight w:val="none"/>
                <w:lang w:val="en-US" w:eastAsia="zh-CN"/>
              </w:rPr>
              <w:t>0</w:t>
            </w:r>
            <w:r>
              <w:rPr>
                <w:rFonts w:hint="eastAsia" w:ascii="宋体" w:hAnsi="宋体" w:eastAsia="宋体" w:cs="宋体"/>
                <w:color w:val="auto"/>
                <w:kern w:val="2"/>
                <w:sz w:val="24"/>
                <w:szCs w:val="24"/>
                <w:highlight w:val="none"/>
              </w:rPr>
              <w:t>分）</w:t>
            </w:r>
          </w:p>
        </w:tc>
        <w:tc>
          <w:tcPr>
            <w:tcW w:w="6510" w:type="dxa"/>
            <w:tcBorders>
              <w:top w:val="single" w:color="auto" w:sz="4" w:space="0"/>
              <w:left w:val="single" w:color="auto" w:sz="4" w:space="0"/>
              <w:bottom w:val="single" w:color="auto" w:sz="4" w:space="0"/>
              <w:right w:val="single" w:color="auto" w:sz="4" w:space="0"/>
            </w:tcBorders>
            <w:noWrap w:val="0"/>
            <w:vAlign w:val="top"/>
          </w:tcPr>
          <w:p>
            <w:pPr>
              <w:pStyle w:val="23"/>
              <w:kinsoku w:val="0"/>
              <w:overflowPunct w:val="0"/>
              <w:spacing w:before="51"/>
              <w:ind w:left="99" w:leftChars="0"/>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SA"/>
              </w:rPr>
              <w:t>根据供应商对所投产品设备的说明，质量及操作的稳定、可靠性、安全性，主要电器元件、核心部件选用的先进性、科学性等情况打分：完全满足招标文件要求且优于招标参数要求的，对优于指标进行横向比较，按优良一般得 10—6 分；基本满足招标文件要求的，根据对招标要求的响应程度得 5—2 分。（本项最多得10分）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51" w:type="dxa"/>
            <w:vMerge w:val="continue"/>
            <w:tcBorders>
              <w:left w:val="single" w:color="auto" w:sz="4" w:space="0"/>
              <w:right w:val="single" w:color="auto" w:sz="4" w:space="0"/>
            </w:tcBorders>
            <w:noWrap w:val="0"/>
            <w:vAlign w:val="center"/>
          </w:tcPr>
          <w:p>
            <w:pPr>
              <w:pStyle w:val="9"/>
              <w:spacing w:line="420" w:lineRule="exact"/>
              <w:jc w:val="center"/>
              <w:rPr>
                <w:rFonts w:hint="eastAsia" w:ascii="宋体" w:hAnsi="宋体" w:eastAsia="宋体" w:cs="宋体"/>
                <w:sz w:val="24"/>
                <w:szCs w:val="24"/>
                <w:highlight w:val="none"/>
              </w:rPr>
            </w:pPr>
          </w:p>
        </w:tc>
        <w:tc>
          <w:tcPr>
            <w:tcW w:w="1747" w:type="dxa"/>
            <w:tcBorders>
              <w:left w:val="single" w:color="auto" w:sz="4" w:space="0"/>
              <w:right w:val="single" w:color="auto" w:sz="4" w:space="0"/>
            </w:tcBorders>
            <w:noWrap w:val="0"/>
            <w:vAlign w:val="center"/>
          </w:tcPr>
          <w:p>
            <w:pPr>
              <w:pStyle w:val="24"/>
              <w:spacing w:line="24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实施方案</w:t>
            </w:r>
          </w:p>
          <w:p>
            <w:pPr>
              <w:pStyle w:val="24"/>
              <w:spacing w:line="24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hAnsi="宋体" w:cs="宋体"/>
                <w:sz w:val="24"/>
                <w:szCs w:val="24"/>
                <w:highlight w:val="none"/>
                <w:lang w:val="en-US" w:eastAsia="zh-CN"/>
              </w:rPr>
              <w:t>5</w:t>
            </w:r>
            <w:r>
              <w:rPr>
                <w:rFonts w:hint="eastAsia" w:ascii="宋体" w:hAnsi="宋体" w:eastAsia="宋体" w:cs="宋体"/>
                <w:sz w:val="24"/>
                <w:szCs w:val="24"/>
                <w:highlight w:val="none"/>
              </w:rPr>
              <w:t>分）</w:t>
            </w:r>
          </w:p>
        </w:tc>
        <w:tc>
          <w:tcPr>
            <w:tcW w:w="6510" w:type="dxa"/>
            <w:tcBorders>
              <w:top w:val="single" w:color="auto" w:sz="4" w:space="0"/>
              <w:left w:val="single" w:color="auto" w:sz="4" w:space="0"/>
              <w:bottom w:val="single" w:color="auto" w:sz="4" w:space="0"/>
              <w:right w:val="single" w:color="auto" w:sz="4" w:space="0"/>
            </w:tcBorders>
            <w:noWrap w:val="0"/>
            <w:vAlign w:val="top"/>
          </w:tcPr>
          <w:p>
            <w:pPr>
              <w:numPr>
                <w:ilvl w:val="0"/>
                <w:numId w:val="4"/>
              </w:numPr>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 xml:space="preserve">有采购设备安装、调试计划的得 </w:t>
            </w:r>
            <w:r>
              <w:rPr>
                <w:rFonts w:hint="eastAsia" w:ascii="宋体" w:hAnsi="宋体" w:eastAsia="宋体" w:cs="宋体"/>
                <w:spacing w:val="-1"/>
                <w:sz w:val="24"/>
                <w:szCs w:val="24"/>
                <w:highlight w:val="none"/>
                <w:lang w:val="en-US" w:eastAsia="zh-CN"/>
              </w:rPr>
              <w:t>1</w:t>
            </w:r>
            <w:r>
              <w:rPr>
                <w:rFonts w:hint="eastAsia" w:ascii="宋体" w:hAnsi="宋体" w:eastAsia="宋体" w:cs="宋体"/>
                <w:spacing w:val="-1"/>
                <w:sz w:val="24"/>
                <w:szCs w:val="24"/>
                <w:highlight w:val="none"/>
              </w:rPr>
              <w:t>分，计划内容详细、可行加 1-</w:t>
            </w:r>
            <w:r>
              <w:rPr>
                <w:rFonts w:hint="eastAsia" w:ascii="宋体" w:hAnsi="宋体" w:eastAsia="宋体" w:cs="宋体"/>
                <w:spacing w:val="-1"/>
                <w:sz w:val="24"/>
                <w:szCs w:val="24"/>
                <w:highlight w:val="none"/>
                <w:lang w:val="en-US" w:eastAsia="zh-CN"/>
              </w:rPr>
              <w:t>4</w:t>
            </w:r>
            <w:r>
              <w:rPr>
                <w:rFonts w:hint="eastAsia" w:ascii="宋体" w:hAnsi="宋体" w:eastAsia="宋体" w:cs="宋体"/>
                <w:spacing w:val="-1"/>
                <w:sz w:val="24"/>
                <w:szCs w:val="24"/>
                <w:highlight w:val="none"/>
              </w:rPr>
              <w:t xml:space="preserve"> 分；</w:t>
            </w:r>
            <w:r>
              <w:rPr>
                <w:rFonts w:hint="eastAsia" w:ascii="宋体" w:hAnsi="宋体" w:eastAsia="宋体" w:cs="宋体"/>
                <w:spacing w:val="-1"/>
                <w:sz w:val="24"/>
                <w:szCs w:val="24"/>
                <w:highlight w:val="none"/>
                <w:lang w:eastAsia="zh-CN"/>
              </w:rPr>
              <w:t>没有不得分。</w:t>
            </w:r>
          </w:p>
          <w:p>
            <w:pPr>
              <w:numPr>
                <w:ilvl w:val="0"/>
                <w:numId w:val="4"/>
              </w:numPr>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有项目实施进度计划、组织方案的得</w:t>
            </w:r>
            <w:r>
              <w:rPr>
                <w:rFonts w:hint="eastAsia" w:ascii="宋体" w:hAnsi="宋体" w:eastAsia="宋体" w:cs="宋体"/>
                <w:spacing w:val="-1"/>
                <w:sz w:val="24"/>
                <w:szCs w:val="24"/>
                <w:highlight w:val="none"/>
                <w:lang w:val="en-US" w:eastAsia="zh-CN"/>
              </w:rPr>
              <w:t>1</w:t>
            </w:r>
            <w:r>
              <w:rPr>
                <w:rFonts w:hint="eastAsia" w:ascii="宋体" w:hAnsi="宋体" w:eastAsia="宋体" w:cs="宋体"/>
                <w:spacing w:val="-1"/>
                <w:sz w:val="24"/>
                <w:szCs w:val="24"/>
                <w:highlight w:val="none"/>
              </w:rPr>
              <w:t>分，计划内容验详细、可行1-</w:t>
            </w:r>
            <w:r>
              <w:rPr>
                <w:rFonts w:hint="eastAsia" w:ascii="宋体" w:hAnsi="宋体" w:eastAsia="宋体" w:cs="宋体"/>
                <w:spacing w:val="-1"/>
                <w:sz w:val="24"/>
                <w:szCs w:val="24"/>
                <w:highlight w:val="none"/>
                <w:lang w:val="en-US" w:eastAsia="zh-CN"/>
              </w:rPr>
              <w:t>4</w:t>
            </w:r>
            <w:r>
              <w:rPr>
                <w:rFonts w:hint="eastAsia" w:ascii="宋体" w:hAnsi="宋体" w:eastAsia="宋体" w:cs="宋体"/>
                <w:spacing w:val="-1"/>
                <w:sz w:val="24"/>
                <w:szCs w:val="24"/>
                <w:highlight w:val="none"/>
              </w:rPr>
              <w:t>分；</w:t>
            </w:r>
            <w:r>
              <w:rPr>
                <w:rFonts w:hint="eastAsia" w:ascii="宋体" w:hAnsi="宋体" w:eastAsia="宋体" w:cs="宋体"/>
                <w:spacing w:val="-1"/>
                <w:sz w:val="24"/>
                <w:szCs w:val="24"/>
                <w:highlight w:val="none"/>
                <w:lang w:eastAsia="zh-CN"/>
              </w:rPr>
              <w:t>没有不得分。</w:t>
            </w:r>
          </w:p>
          <w:p>
            <w:pPr>
              <w:numPr>
                <w:ilvl w:val="0"/>
                <w:numId w:val="4"/>
              </w:numPr>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有质量保证措施</w:t>
            </w:r>
            <w:r>
              <w:rPr>
                <w:rFonts w:hint="eastAsia" w:ascii="宋体" w:hAnsi="宋体" w:eastAsia="宋体" w:cs="宋体"/>
                <w:spacing w:val="-1"/>
                <w:sz w:val="24"/>
                <w:szCs w:val="24"/>
                <w:highlight w:val="none"/>
                <w:lang w:eastAsia="zh-CN"/>
              </w:rPr>
              <w:t>且</w:t>
            </w:r>
            <w:r>
              <w:rPr>
                <w:rFonts w:hint="eastAsia" w:ascii="宋体" w:hAnsi="宋体" w:eastAsia="宋体" w:cs="宋体"/>
                <w:spacing w:val="-1"/>
                <w:sz w:val="24"/>
                <w:szCs w:val="24"/>
                <w:highlight w:val="none"/>
              </w:rPr>
              <w:t>措施有效、得力</w:t>
            </w:r>
            <w:r>
              <w:rPr>
                <w:rFonts w:hint="eastAsia" w:ascii="宋体" w:hAnsi="宋体" w:eastAsia="宋体" w:cs="宋体"/>
                <w:spacing w:val="-1"/>
                <w:sz w:val="24"/>
                <w:szCs w:val="24"/>
                <w:highlight w:val="none"/>
                <w:lang w:eastAsia="zh-CN"/>
              </w:rPr>
              <w:t>等情况</w:t>
            </w:r>
            <w:r>
              <w:rPr>
                <w:rFonts w:hint="eastAsia" w:ascii="宋体" w:hAnsi="宋体" w:eastAsia="宋体" w:cs="宋体"/>
                <w:spacing w:val="-1"/>
                <w:sz w:val="24"/>
                <w:szCs w:val="24"/>
                <w:highlight w:val="none"/>
                <w:lang w:val="en-US" w:eastAsia="zh-CN"/>
              </w:rPr>
              <w:t>1</w:t>
            </w:r>
            <w:r>
              <w:rPr>
                <w:rFonts w:hint="eastAsia" w:ascii="宋体" w:hAnsi="宋体" w:eastAsia="宋体" w:cs="宋体"/>
                <w:spacing w:val="-1"/>
                <w:sz w:val="24"/>
                <w:szCs w:val="24"/>
                <w:highlight w:val="none"/>
              </w:rPr>
              <w:t>-</w:t>
            </w:r>
            <w:r>
              <w:rPr>
                <w:rFonts w:hint="eastAsia" w:ascii="宋体" w:hAnsi="宋体" w:eastAsia="宋体" w:cs="宋体"/>
                <w:spacing w:val="-1"/>
                <w:sz w:val="24"/>
                <w:szCs w:val="24"/>
                <w:highlight w:val="none"/>
                <w:lang w:val="en-US" w:eastAsia="zh-CN"/>
              </w:rPr>
              <w:t>5</w:t>
            </w:r>
            <w:r>
              <w:rPr>
                <w:rFonts w:hint="eastAsia" w:ascii="宋体" w:hAnsi="宋体" w:eastAsia="宋体" w:cs="宋体"/>
                <w:spacing w:val="-1"/>
                <w:sz w:val="24"/>
                <w:szCs w:val="24"/>
                <w:highlight w:val="none"/>
              </w:rPr>
              <w:t>分；</w:t>
            </w:r>
            <w:r>
              <w:rPr>
                <w:rFonts w:hint="eastAsia" w:ascii="宋体" w:hAnsi="宋体" w:eastAsia="宋体" w:cs="宋体"/>
                <w:spacing w:val="-1"/>
                <w:sz w:val="24"/>
                <w:szCs w:val="24"/>
                <w:highlight w:val="none"/>
                <w:lang w:eastAsia="zh-CN"/>
              </w:rPr>
              <w:t>没有不得分。</w:t>
            </w:r>
          </w:p>
          <w:p>
            <w:pPr>
              <w:numPr>
                <w:ilvl w:val="0"/>
                <w:numId w:val="4"/>
              </w:numPr>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有人员培训计划，根据计划内容</w:t>
            </w:r>
            <w:r>
              <w:rPr>
                <w:rFonts w:hint="eastAsia" w:ascii="宋体" w:hAnsi="宋体" w:eastAsia="宋体" w:cs="宋体"/>
                <w:spacing w:val="-1"/>
                <w:sz w:val="24"/>
                <w:szCs w:val="24"/>
                <w:highlight w:val="none"/>
                <w:lang w:eastAsia="zh-CN"/>
              </w:rPr>
              <w:t>详细可行</w:t>
            </w:r>
            <w:r>
              <w:rPr>
                <w:rFonts w:hint="eastAsia" w:ascii="宋体" w:hAnsi="宋体" w:eastAsia="宋体" w:cs="宋体"/>
                <w:spacing w:val="-1"/>
                <w:sz w:val="24"/>
                <w:szCs w:val="24"/>
                <w:highlight w:val="none"/>
                <w:lang w:val="en-US" w:eastAsia="zh-CN"/>
              </w:rPr>
              <w:t>1</w:t>
            </w:r>
            <w:r>
              <w:rPr>
                <w:rFonts w:hint="eastAsia" w:ascii="宋体" w:hAnsi="宋体" w:eastAsia="宋体" w:cs="宋体"/>
                <w:spacing w:val="-1"/>
                <w:sz w:val="24"/>
                <w:szCs w:val="24"/>
                <w:highlight w:val="none"/>
              </w:rPr>
              <w:t>-</w:t>
            </w:r>
            <w:r>
              <w:rPr>
                <w:rFonts w:hint="eastAsia" w:ascii="宋体" w:hAnsi="宋体" w:eastAsia="宋体" w:cs="宋体"/>
                <w:spacing w:val="-1"/>
                <w:sz w:val="24"/>
                <w:szCs w:val="24"/>
                <w:highlight w:val="none"/>
                <w:lang w:val="en-US" w:eastAsia="zh-CN"/>
              </w:rPr>
              <w:t>5</w:t>
            </w:r>
            <w:r>
              <w:rPr>
                <w:rFonts w:hint="eastAsia" w:ascii="宋体" w:hAnsi="宋体" w:eastAsia="宋体" w:cs="宋体"/>
                <w:spacing w:val="-1"/>
                <w:sz w:val="24"/>
                <w:szCs w:val="24"/>
                <w:highlight w:val="none"/>
              </w:rPr>
              <w:t xml:space="preserve"> 分；</w:t>
            </w:r>
            <w:r>
              <w:rPr>
                <w:rFonts w:hint="eastAsia" w:ascii="宋体" w:hAnsi="宋体" w:eastAsia="宋体" w:cs="宋体"/>
                <w:spacing w:val="-1"/>
                <w:sz w:val="24"/>
                <w:szCs w:val="24"/>
                <w:highlight w:val="none"/>
                <w:lang w:eastAsia="zh-CN"/>
              </w:rPr>
              <w:t>没有不得分。</w:t>
            </w:r>
          </w:p>
          <w:p>
            <w:pP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5、</w:t>
            </w:r>
            <w:r>
              <w:rPr>
                <w:rFonts w:hint="eastAsia" w:ascii="宋体" w:hAnsi="宋体" w:eastAsia="宋体" w:cs="宋体"/>
                <w:spacing w:val="-1"/>
                <w:sz w:val="24"/>
                <w:szCs w:val="24"/>
                <w:highlight w:val="none"/>
                <w:lang w:eastAsia="zh-CN"/>
              </w:rPr>
              <w:t>有针对本项目加工生产方面</w:t>
            </w:r>
            <w:r>
              <w:rPr>
                <w:rFonts w:hint="eastAsia" w:ascii="宋体" w:hAnsi="宋体" w:eastAsia="宋体" w:cs="宋体"/>
                <w:spacing w:val="-1"/>
                <w:sz w:val="24"/>
                <w:szCs w:val="24"/>
                <w:highlight w:val="none"/>
              </w:rPr>
              <w:t>可靠</w:t>
            </w:r>
            <w:r>
              <w:rPr>
                <w:rFonts w:hint="eastAsia" w:ascii="宋体" w:hAnsi="宋体" w:eastAsia="宋体" w:cs="宋体"/>
                <w:spacing w:val="-1"/>
                <w:sz w:val="24"/>
                <w:szCs w:val="24"/>
                <w:highlight w:val="none"/>
                <w:lang w:eastAsia="zh-CN"/>
              </w:rPr>
              <w:t>可行的合理化建议，根据内容详尽程度得</w:t>
            </w:r>
            <w:r>
              <w:rPr>
                <w:rFonts w:hint="eastAsia" w:ascii="宋体" w:hAnsi="宋体" w:eastAsia="宋体" w:cs="宋体"/>
                <w:spacing w:val="-1"/>
                <w:sz w:val="24"/>
                <w:szCs w:val="24"/>
                <w:highlight w:val="none"/>
                <w:lang w:val="en-US" w:eastAsia="zh-CN"/>
              </w:rPr>
              <w:t>1</w:t>
            </w:r>
            <w:r>
              <w:rPr>
                <w:rFonts w:hint="eastAsia" w:ascii="宋体" w:hAnsi="宋体" w:eastAsia="宋体" w:cs="宋体"/>
                <w:spacing w:val="-1"/>
                <w:sz w:val="24"/>
                <w:szCs w:val="24"/>
                <w:highlight w:val="none"/>
              </w:rPr>
              <w:t>-</w:t>
            </w:r>
            <w:r>
              <w:rPr>
                <w:rFonts w:hint="eastAsia" w:ascii="宋体" w:hAnsi="宋体" w:eastAsia="宋体" w:cs="宋体"/>
                <w:spacing w:val="-1"/>
                <w:sz w:val="24"/>
                <w:szCs w:val="24"/>
                <w:highlight w:val="none"/>
                <w:lang w:val="en-US" w:eastAsia="zh-CN"/>
              </w:rPr>
              <w:t>5</w:t>
            </w:r>
            <w:r>
              <w:rPr>
                <w:rFonts w:hint="eastAsia" w:ascii="宋体" w:hAnsi="宋体" w:eastAsia="宋体" w:cs="宋体"/>
                <w:spacing w:val="-1"/>
                <w:sz w:val="24"/>
                <w:szCs w:val="24"/>
                <w:highlight w:val="none"/>
              </w:rPr>
              <w:t>分。</w:t>
            </w:r>
            <w:r>
              <w:rPr>
                <w:rFonts w:hint="eastAsia" w:ascii="宋体" w:hAnsi="宋体" w:eastAsia="宋体" w:cs="宋体"/>
                <w:spacing w:val="-1"/>
                <w:sz w:val="24"/>
                <w:szCs w:val="24"/>
                <w:highlight w:val="none"/>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1551" w:type="dxa"/>
            <w:vMerge w:val="restart"/>
            <w:tcBorders>
              <w:left w:val="single" w:color="auto" w:sz="4" w:space="0"/>
              <w:right w:val="single" w:color="auto" w:sz="4" w:space="0"/>
            </w:tcBorders>
            <w:noWrap w:val="0"/>
            <w:vAlign w:val="center"/>
          </w:tcPr>
          <w:p>
            <w:pPr>
              <w:pStyle w:val="9"/>
              <w:spacing w:line="4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2.2.4</w:t>
            </w:r>
          </w:p>
          <w:p>
            <w:pPr>
              <w:pStyle w:val="9"/>
              <w:spacing w:line="4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商务部分（20分）</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企业综合实力</w:t>
            </w:r>
          </w:p>
          <w:p>
            <w:pPr>
              <w:spacing w:line="400" w:lineRule="exact"/>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eastAsia="zh-CN"/>
              </w:rPr>
              <w:t>投标人或所投产品制造商有通过</w:t>
            </w:r>
            <w:r>
              <w:rPr>
                <w:rFonts w:hint="eastAsia" w:ascii="宋体" w:hAnsi="宋体" w:eastAsia="宋体" w:cs="宋体"/>
                <w:spacing w:val="-1"/>
                <w:sz w:val="24"/>
                <w:szCs w:val="24"/>
                <w:highlight w:val="none"/>
                <w:lang w:val="en-US" w:eastAsia="zh-CN"/>
              </w:rPr>
              <w:t>ISO</w:t>
            </w:r>
            <w:r>
              <w:rPr>
                <w:rFonts w:hint="eastAsia" w:ascii="宋体" w:hAnsi="宋体" w:eastAsia="宋体" w:cs="宋体"/>
                <w:spacing w:val="-1"/>
                <w:sz w:val="24"/>
                <w:szCs w:val="24"/>
                <w:highlight w:val="none"/>
              </w:rPr>
              <w:t>质量管理体系认证、环境管理体系、</w:t>
            </w:r>
            <w:r>
              <w:rPr>
                <w:rFonts w:hint="eastAsia" w:ascii="宋体" w:hAnsi="宋体" w:eastAsia="宋体" w:cs="宋体"/>
                <w:spacing w:val="-36"/>
                <w:sz w:val="24"/>
                <w:szCs w:val="24"/>
                <w:highlight w:val="none"/>
              </w:rPr>
              <w:t xml:space="preserve"> </w:t>
            </w:r>
            <w:r>
              <w:rPr>
                <w:rFonts w:hint="eastAsia" w:ascii="宋体" w:hAnsi="宋体" w:eastAsia="宋体" w:cs="宋体"/>
                <w:spacing w:val="-2"/>
                <w:sz w:val="24"/>
                <w:szCs w:val="24"/>
                <w:highlight w:val="none"/>
              </w:rPr>
              <w:t>职业健康安全管理体系认证的，每有一项得</w:t>
            </w:r>
            <w:r>
              <w:rPr>
                <w:rFonts w:hint="eastAsia" w:ascii="宋体" w:hAnsi="宋体" w:eastAsia="宋体" w:cs="宋体"/>
                <w:spacing w:val="-36"/>
                <w:sz w:val="24"/>
                <w:szCs w:val="24"/>
                <w:highlight w:val="none"/>
              </w:rPr>
              <w:t xml:space="preserve"> </w:t>
            </w:r>
            <w:r>
              <w:rPr>
                <w:rFonts w:hint="eastAsia" w:ascii="宋体" w:hAnsi="宋体" w:eastAsia="宋体" w:cs="宋体"/>
                <w:sz w:val="24"/>
                <w:szCs w:val="24"/>
                <w:highlight w:val="none"/>
              </w:rPr>
              <w:t>1</w:t>
            </w:r>
            <w:r>
              <w:rPr>
                <w:rFonts w:hint="eastAsia" w:ascii="宋体" w:hAnsi="宋体" w:eastAsia="宋体" w:cs="宋体"/>
                <w:spacing w:val="-33"/>
                <w:sz w:val="24"/>
                <w:szCs w:val="24"/>
                <w:highlight w:val="none"/>
              </w:rPr>
              <w:t xml:space="preserve"> </w:t>
            </w:r>
            <w:r>
              <w:rPr>
                <w:rFonts w:hint="eastAsia" w:ascii="宋体" w:hAnsi="宋体" w:eastAsia="宋体" w:cs="宋体"/>
                <w:spacing w:val="-2"/>
                <w:sz w:val="24"/>
                <w:szCs w:val="24"/>
                <w:highlight w:val="none"/>
              </w:rPr>
              <w:t>分，本项共</w:t>
            </w:r>
            <w:r>
              <w:rPr>
                <w:rFonts w:hint="eastAsia" w:ascii="宋体" w:hAnsi="宋体" w:eastAsia="宋体" w:cs="宋体"/>
                <w:spacing w:val="-33"/>
                <w:sz w:val="24"/>
                <w:szCs w:val="24"/>
                <w:highlight w:val="none"/>
              </w:rPr>
              <w:t xml:space="preserve"> </w:t>
            </w:r>
            <w:r>
              <w:rPr>
                <w:rFonts w:hint="eastAsia" w:ascii="宋体" w:hAnsi="宋体" w:eastAsia="宋体" w:cs="宋体"/>
                <w:sz w:val="24"/>
                <w:szCs w:val="24"/>
                <w:highlight w:val="none"/>
              </w:rPr>
              <w:t>3</w:t>
            </w:r>
            <w:r>
              <w:rPr>
                <w:rFonts w:hint="eastAsia" w:ascii="宋体" w:hAnsi="宋体" w:eastAsia="宋体" w:cs="宋体"/>
                <w:spacing w:val="-2"/>
                <w:sz w:val="24"/>
                <w:szCs w:val="24"/>
                <w:highlight w:val="none"/>
              </w:rPr>
              <w:t>分。</w:t>
            </w:r>
            <w:r>
              <w:rPr>
                <w:rFonts w:hint="eastAsia" w:ascii="宋体" w:hAnsi="宋体" w:eastAsia="宋体" w:cs="宋体"/>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1551" w:type="dxa"/>
            <w:vMerge w:val="continue"/>
            <w:tcBorders>
              <w:left w:val="single" w:color="auto" w:sz="4" w:space="0"/>
              <w:right w:val="single" w:color="auto" w:sz="4" w:space="0"/>
            </w:tcBorders>
            <w:noWrap w:val="0"/>
            <w:vAlign w:val="center"/>
          </w:tcPr>
          <w:p>
            <w:pPr>
              <w:pStyle w:val="9"/>
              <w:spacing w:line="420" w:lineRule="exact"/>
              <w:jc w:val="center"/>
              <w:rPr>
                <w:rFonts w:hint="eastAsia" w:ascii="宋体" w:hAnsi="宋体" w:eastAsia="宋体" w:cs="宋体"/>
                <w:sz w:val="24"/>
                <w:szCs w:val="24"/>
                <w:highlight w:val="none"/>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类似项目业绩（</w:t>
            </w:r>
            <w:r>
              <w:rPr>
                <w:rFonts w:hint="eastAsia" w:ascii="宋体" w:hAnsi="宋体" w:eastAsia="宋体" w:cs="宋体"/>
                <w:sz w:val="24"/>
                <w:szCs w:val="24"/>
                <w:highlight w:val="none"/>
                <w:lang w:val="en-US" w:eastAsia="zh-CN"/>
              </w:rPr>
              <w:t>6分</w:t>
            </w:r>
            <w:r>
              <w:rPr>
                <w:rFonts w:hint="eastAsia" w:ascii="宋体" w:hAnsi="宋体" w:eastAsia="宋体" w:cs="宋体"/>
                <w:sz w:val="24"/>
                <w:szCs w:val="24"/>
                <w:highlight w:val="none"/>
                <w:lang w:eastAsia="zh-CN"/>
              </w:rPr>
              <w:t>）</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0" w:leftChars="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提供</w:t>
            </w:r>
            <w:r>
              <w:rPr>
                <w:rFonts w:hint="eastAsia" w:ascii="宋体" w:hAnsi="宋体" w:eastAsia="宋体" w:cs="宋体"/>
                <w:sz w:val="24"/>
                <w:szCs w:val="24"/>
                <w:highlight w:val="none"/>
              </w:rPr>
              <w:t>201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年1月1日以来完成的类似项目业绩，每提供一份得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分，最多得</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分。（以签订合同为准，不提供不得分）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trPr>
        <w:tc>
          <w:tcPr>
            <w:tcW w:w="1551" w:type="dxa"/>
            <w:vMerge w:val="continue"/>
            <w:tcBorders>
              <w:left w:val="single" w:color="auto" w:sz="4" w:space="0"/>
              <w:right w:val="single" w:color="auto" w:sz="4" w:space="0"/>
            </w:tcBorders>
            <w:noWrap w:val="0"/>
            <w:vAlign w:val="center"/>
          </w:tcPr>
          <w:p>
            <w:pPr>
              <w:pStyle w:val="9"/>
              <w:spacing w:line="420" w:lineRule="exact"/>
              <w:jc w:val="center"/>
              <w:rPr>
                <w:rFonts w:hint="eastAsia" w:ascii="宋体" w:hAnsi="宋体" w:eastAsia="宋体" w:cs="宋体"/>
                <w:sz w:val="24"/>
                <w:szCs w:val="24"/>
                <w:highlight w:val="none"/>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售后服务</w:t>
            </w:r>
          </w:p>
          <w:p>
            <w:pPr>
              <w:spacing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分）</w:t>
            </w:r>
          </w:p>
        </w:tc>
        <w:tc>
          <w:tcPr>
            <w:tcW w:w="6510"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rPr>
                <w:rFonts w:hint="eastAsia" w:ascii="宋体" w:hAnsi="宋体" w:eastAsia="宋体" w:cs="宋体"/>
                <w:spacing w:val="-2"/>
                <w:sz w:val="24"/>
                <w:szCs w:val="24"/>
                <w:highlight w:val="none"/>
              </w:rPr>
            </w:pPr>
            <w:r>
              <w:rPr>
                <w:rFonts w:hint="eastAsia" w:ascii="宋体" w:hAnsi="宋体" w:eastAsia="宋体" w:cs="宋体"/>
                <w:spacing w:val="1"/>
                <w:sz w:val="24"/>
                <w:szCs w:val="24"/>
                <w:highlight w:val="none"/>
              </w:rPr>
              <w:t>提供售后服务计划的得</w:t>
            </w:r>
            <w:r>
              <w:rPr>
                <w:rFonts w:hint="eastAsia" w:ascii="宋体" w:hAnsi="宋体" w:eastAsia="宋体" w:cs="宋体"/>
                <w:sz w:val="24"/>
                <w:szCs w:val="24"/>
                <w:highlight w:val="none"/>
                <w:lang w:val="en-US" w:eastAsia="zh-CN"/>
              </w:rPr>
              <w:t>1</w:t>
            </w:r>
            <w:r>
              <w:rPr>
                <w:rFonts w:hint="eastAsia" w:ascii="宋体" w:hAnsi="宋体" w:eastAsia="宋体" w:cs="宋体"/>
                <w:spacing w:val="1"/>
                <w:sz w:val="24"/>
                <w:szCs w:val="24"/>
                <w:highlight w:val="none"/>
              </w:rPr>
              <w:t>分，根据售后服务计划中服务方案、人</w:t>
            </w:r>
            <w:r>
              <w:rPr>
                <w:rFonts w:hint="eastAsia" w:ascii="宋体" w:hAnsi="宋体" w:eastAsia="宋体" w:cs="宋体"/>
                <w:spacing w:val="4"/>
                <w:sz w:val="24"/>
                <w:szCs w:val="24"/>
                <w:highlight w:val="none"/>
              </w:rPr>
              <w:t>员安排、响应时间、服务方式、服务内容、备品备件等内容完善情况</w:t>
            </w:r>
            <w:r>
              <w:rPr>
                <w:rFonts w:hint="eastAsia" w:ascii="宋体" w:hAnsi="宋体" w:eastAsia="宋体" w:cs="宋体"/>
                <w:sz w:val="24"/>
                <w:szCs w:val="24"/>
                <w:highlight w:val="none"/>
              </w:rPr>
              <w:t>加</w:t>
            </w:r>
            <w:r>
              <w:rPr>
                <w:rFonts w:hint="eastAsia" w:ascii="宋体" w:hAnsi="宋体" w:eastAsia="宋体" w:cs="宋体"/>
                <w:spacing w:val="-53"/>
                <w:sz w:val="24"/>
                <w:szCs w:val="24"/>
                <w:highlight w:val="none"/>
              </w:rPr>
              <w:t>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pacing w:val="-2"/>
                <w:sz w:val="24"/>
                <w:szCs w:val="24"/>
                <w:highlight w:val="none"/>
              </w:rPr>
              <w:t>分，没有不得分。</w:t>
            </w:r>
          </w:p>
          <w:p>
            <w:pPr>
              <w:numPr>
                <w:ilvl w:val="0"/>
                <w:numId w:val="5"/>
              </w:numPr>
              <w:ind w:left="0" w:leftChars="0" w:firstLine="0" w:firstLineChars="0"/>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承诺中标后</w:t>
            </w:r>
            <w:r>
              <w:rPr>
                <w:rFonts w:hint="eastAsia" w:ascii="宋体" w:hAnsi="宋体" w:eastAsia="宋体" w:cs="宋体"/>
                <w:spacing w:val="-2"/>
                <w:sz w:val="24"/>
                <w:szCs w:val="24"/>
                <w:highlight w:val="none"/>
              </w:rPr>
              <w:t>若实施进度达不到</w:t>
            </w:r>
            <w:r>
              <w:rPr>
                <w:rFonts w:hint="eastAsia" w:ascii="宋体" w:hAnsi="宋体" w:eastAsia="宋体" w:cs="宋体"/>
                <w:spacing w:val="-2"/>
                <w:sz w:val="24"/>
                <w:szCs w:val="24"/>
                <w:highlight w:val="none"/>
                <w:lang w:eastAsia="zh-CN"/>
              </w:rPr>
              <w:t>招标人</w:t>
            </w:r>
            <w:r>
              <w:rPr>
                <w:rFonts w:hint="eastAsia" w:ascii="宋体" w:hAnsi="宋体" w:eastAsia="宋体" w:cs="宋体"/>
                <w:spacing w:val="-2"/>
                <w:sz w:val="24"/>
                <w:szCs w:val="24"/>
                <w:highlight w:val="none"/>
              </w:rPr>
              <w:t>要求，将</w:t>
            </w:r>
            <w:r>
              <w:rPr>
                <w:rFonts w:hint="eastAsia" w:ascii="宋体" w:hAnsi="宋体" w:eastAsia="宋体" w:cs="宋体"/>
                <w:spacing w:val="-2"/>
                <w:sz w:val="24"/>
                <w:szCs w:val="24"/>
                <w:highlight w:val="none"/>
                <w:lang w:eastAsia="zh-CN"/>
              </w:rPr>
              <w:t>承担由招标人扣款</w:t>
            </w:r>
            <w:r>
              <w:rPr>
                <w:rFonts w:hint="eastAsia" w:ascii="宋体" w:hAnsi="宋体" w:eastAsia="宋体" w:cs="宋体"/>
                <w:spacing w:val="-1"/>
                <w:sz w:val="24"/>
                <w:szCs w:val="24"/>
                <w:highlight w:val="none"/>
              </w:rPr>
              <w:t>等</w:t>
            </w:r>
            <w:r>
              <w:rPr>
                <w:rFonts w:hint="eastAsia" w:ascii="宋体" w:hAnsi="宋体" w:eastAsia="宋体" w:cs="宋体"/>
                <w:spacing w:val="-1"/>
                <w:sz w:val="24"/>
                <w:szCs w:val="24"/>
                <w:highlight w:val="none"/>
                <w:lang w:eastAsia="zh-CN"/>
              </w:rPr>
              <w:t>相应机制的</w:t>
            </w:r>
            <w:r>
              <w:rPr>
                <w:rFonts w:hint="eastAsia" w:ascii="宋体" w:hAnsi="宋体" w:eastAsia="宋体" w:cs="宋体"/>
                <w:spacing w:val="-1"/>
                <w:sz w:val="24"/>
                <w:szCs w:val="24"/>
                <w:highlight w:val="none"/>
              </w:rPr>
              <w:t>承诺</w:t>
            </w:r>
            <w:r>
              <w:rPr>
                <w:rFonts w:hint="eastAsia" w:ascii="宋体" w:hAnsi="宋体" w:eastAsia="宋体" w:cs="宋体"/>
                <w:spacing w:val="-2"/>
                <w:sz w:val="24"/>
                <w:szCs w:val="24"/>
                <w:highlight w:val="none"/>
              </w:rPr>
              <w:t>得</w:t>
            </w:r>
            <w:r>
              <w:rPr>
                <w:rFonts w:hint="eastAsia" w:ascii="宋体" w:hAnsi="宋体" w:eastAsia="宋体" w:cs="宋体"/>
                <w:spacing w:val="-33"/>
                <w:sz w:val="24"/>
                <w:szCs w:val="24"/>
                <w:highlight w:val="none"/>
              </w:rPr>
              <w:t xml:space="preserve"> </w:t>
            </w:r>
            <w:r>
              <w:rPr>
                <w:rFonts w:hint="eastAsia" w:ascii="宋体" w:hAnsi="宋体" w:eastAsia="宋体" w:cs="宋体"/>
                <w:sz w:val="24"/>
                <w:szCs w:val="24"/>
                <w:highlight w:val="none"/>
              </w:rPr>
              <w:t>2</w:t>
            </w:r>
            <w:r>
              <w:rPr>
                <w:rFonts w:hint="eastAsia" w:ascii="宋体" w:hAnsi="宋体" w:eastAsia="宋体" w:cs="宋体"/>
                <w:spacing w:val="-2"/>
                <w:sz w:val="24"/>
                <w:szCs w:val="24"/>
                <w:highlight w:val="none"/>
              </w:rPr>
              <w:t>分，没有不得分</w:t>
            </w:r>
            <w:r>
              <w:rPr>
                <w:rFonts w:hint="eastAsia" w:ascii="宋体" w:hAnsi="宋体" w:eastAsia="宋体" w:cs="宋体"/>
                <w:spacing w:val="-1"/>
                <w:sz w:val="24"/>
                <w:szCs w:val="24"/>
                <w:highlight w:val="none"/>
              </w:rPr>
              <w:t>。</w:t>
            </w:r>
          </w:p>
          <w:p>
            <w:pPr>
              <w:numPr>
                <w:ilvl w:val="0"/>
                <w:numId w:val="0"/>
              </w:numPr>
              <w:ind w:left="0" w:leftChars="0" w:firstLine="0" w:firstLineChars="0"/>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lang w:val="en-US" w:eastAsia="zh-CN"/>
              </w:rPr>
              <w:t>4.设备</w:t>
            </w:r>
            <w:r>
              <w:rPr>
                <w:rFonts w:hint="eastAsia" w:ascii="宋体" w:hAnsi="宋体" w:eastAsia="宋体" w:cs="宋体"/>
                <w:sz w:val="24"/>
                <w:szCs w:val="24"/>
                <w:highlight w:val="none"/>
              </w:rPr>
              <w:t>质量保修的服务承诺。（</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p>
        </w:tc>
      </w:tr>
    </w:tbl>
    <w:p>
      <w:pPr>
        <w:bidi w:val="0"/>
        <w:rPr>
          <w:rFonts w:hint="eastAsia" w:ascii="宋体" w:hAnsi="宋体" w:eastAsia="宋体" w:cs="宋体"/>
          <w:sz w:val="24"/>
          <w:szCs w:val="24"/>
          <w:highlight w:val="none"/>
        </w:rPr>
      </w:pPr>
    </w:p>
    <w:p>
      <w:pPr>
        <w:pStyle w:val="2"/>
        <w:spacing w:line="240" w:lineRule="auto"/>
        <w:ind w:left="0" w:leftChars="0" w:right="0" w:firstLine="0" w:firstLineChars="0"/>
        <w:jc w:val="left"/>
        <w:rPr>
          <w:highlight w:val="none"/>
        </w:rPr>
      </w:pPr>
      <w:bookmarkStart w:id="139" w:name="1. 评标方法"/>
      <w:bookmarkEnd w:id="139"/>
      <w:bookmarkStart w:id="140" w:name="_bookmark17"/>
      <w:bookmarkEnd w:id="140"/>
      <w:bookmarkStart w:id="141" w:name="_bookmark16"/>
      <w:bookmarkEnd w:id="141"/>
      <w:bookmarkStart w:id="142" w:name="1. 评标方法"/>
      <w:bookmarkEnd w:id="142"/>
    </w:p>
    <w:p>
      <w:pPr>
        <w:pStyle w:val="2"/>
        <w:keepNext w:val="0"/>
        <w:keepLines w:val="0"/>
        <w:pageBreakBefore w:val="0"/>
        <w:widowControl w:val="0"/>
        <w:kinsoku/>
        <w:wordWrap/>
        <w:overflowPunct/>
        <w:topLinePunct w:val="0"/>
        <w:autoSpaceDE/>
        <w:autoSpaceDN/>
        <w:bidi w:val="0"/>
        <w:adjustRightInd/>
        <w:snapToGrid/>
        <w:spacing w:line="360" w:lineRule="auto"/>
        <w:ind w:left="0" w:right="0"/>
        <w:jc w:val="both"/>
        <w:textAlignment w:val="auto"/>
        <w:rPr>
          <w:highlight w:val="none"/>
        </w:rPr>
      </w:pPr>
      <w:r>
        <w:rPr>
          <w:highlight w:val="none"/>
        </w:rPr>
        <w:t>1.</w:t>
      </w:r>
      <w:r>
        <w:rPr>
          <w:spacing w:val="-4"/>
          <w:highlight w:val="none"/>
        </w:rPr>
        <w:t xml:space="preserve"> </w:t>
      </w:r>
      <w:r>
        <w:rPr>
          <w:highlight w:val="none"/>
        </w:rPr>
        <w:t>评标方法</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spacing w:val="-3"/>
          <w:highlight w:val="none"/>
        </w:rPr>
        <w:t>本次评标采用综合评估法。评标委员会对满足招标文件实质性要求的投标文件，按照本章</w:t>
      </w:r>
      <w:r>
        <w:rPr>
          <w:highlight w:val="none"/>
        </w:rPr>
        <w:t xml:space="preserve"> 第2.2</w:t>
      </w:r>
      <w:r>
        <w:rPr>
          <w:spacing w:val="22"/>
          <w:highlight w:val="none"/>
        </w:rPr>
        <w:t xml:space="preserve"> </w:t>
      </w:r>
      <w:r>
        <w:rPr>
          <w:spacing w:val="-3"/>
          <w:highlight w:val="none"/>
        </w:rPr>
        <w:t>款规定的评分标准进行打分，并按得分由高到低顺序推荐中标候选人，但投标报价低于</w:t>
      </w:r>
      <w:r>
        <w:rPr>
          <w:highlight w:val="none"/>
        </w:rPr>
        <w:t xml:space="preserve"> </w:t>
      </w:r>
      <w:r>
        <w:rPr>
          <w:spacing w:val="-3"/>
          <w:highlight w:val="none"/>
        </w:rPr>
        <w:t>其成本的除外。综合评分相等时，以投标报价低的优先；投标报价也相等的，由采购人自行确</w:t>
      </w:r>
      <w:r>
        <w:rPr>
          <w:spacing w:val="-87"/>
          <w:highlight w:val="none"/>
        </w:rPr>
        <w:t xml:space="preserve"> </w:t>
      </w:r>
      <w:r>
        <w:rPr>
          <w:highlight w:val="none"/>
        </w:rPr>
        <w:t>定。</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jc w:val="both"/>
        <w:textAlignment w:val="auto"/>
        <w:rPr>
          <w:highlight w:val="none"/>
        </w:rPr>
      </w:pPr>
      <w:bookmarkStart w:id="143" w:name="_bookmark18"/>
      <w:bookmarkEnd w:id="143"/>
      <w:bookmarkStart w:id="144" w:name="2. 评审标准"/>
      <w:bookmarkEnd w:id="144"/>
      <w:r>
        <w:rPr>
          <w:highlight w:val="none"/>
        </w:rPr>
        <w:t>2.</w:t>
      </w:r>
      <w:r>
        <w:rPr>
          <w:spacing w:val="-3"/>
          <w:highlight w:val="none"/>
        </w:rPr>
        <w:t xml:space="preserve"> </w:t>
      </w:r>
      <w:r>
        <w:rPr>
          <w:highlight w:val="none"/>
        </w:rPr>
        <w:t>评审标准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bookmarkStart w:id="145" w:name="2.1 初步评审标准"/>
      <w:bookmarkEnd w:id="145"/>
      <w:r>
        <w:rPr>
          <w:highlight w:val="none"/>
        </w:rPr>
        <w:t>2.1 初步评审标准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240" w:firstLineChars="100"/>
        <w:jc w:val="both"/>
        <w:textAlignment w:val="auto"/>
        <w:rPr>
          <w:highlight w:val="none"/>
        </w:rPr>
      </w:pPr>
      <w:r>
        <w:rPr>
          <w:highlight w:val="none"/>
        </w:rPr>
        <w:t>2.1.1 资格评审标准：见评标办法前附表。</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240" w:firstLineChars="100"/>
        <w:jc w:val="both"/>
        <w:textAlignment w:val="auto"/>
        <w:rPr>
          <w:highlight w:val="none"/>
        </w:rPr>
      </w:pPr>
      <w:r>
        <w:rPr>
          <w:highlight w:val="none"/>
        </w:rPr>
        <w:t>2.1.2 符合性评审标准：见评标办法前附表。</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bookmarkStart w:id="146" w:name="2.2 分值构成与评分标准"/>
      <w:bookmarkEnd w:id="146"/>
      <w:r>
        <w:rPr>
          <w:highlight w:val="none"/>
        </w:rPr>
        <w:t>2.2 分值构成与评分标准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240" w:firstLineChars="100"/>
        <w:jc w:val="both"/>
        <w:textAlignment w:val="auto"/>
        <w:rPr>
          <w:highlight w:val="none"/>
        </w:rPr>
      </w:pPr>
      <w:r>
        <w:rPr>
          <w:highlight w:val="none"/>
        </w:rPr>
        <w:t xml:space="preserve">2.2.1 分值构成 见评标办法前附表。 </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240" w:firstLineChars="100"/>
        <w:jc w:val="both"/>
        <w:textAlignment w:val="auto"/>
        <w:rPr>
          <w:highlight w:val="none"/>
        </w:rPr>
      </w:pPr>
      <w:r>
        <w:rPr>
          <w:highlight w:val="none"/>
        </w:rPr>
        <w:t>2.2.2 评分标准 见评标办法前附表。</w:t>
      </w:r>
    </w:p>
    <w:p>
      <w:pPr>
        <w:pStyle w:val="2"/>
        <w:keepNext w:val="0"/>
        <w:keepLines w:val="0"/>
        <w:pageBreakBefore w:val="0"/>
        <w:widowControl w:val="0"/>
        <w:kinsoku/>
        <w:wordWrap/>
        <w:overflowPunct/>
        <w:topLinePunct w:val="0"/>
        <w:autoSpaceDE/>
        <w:autoSpaceDN/>
        <w:bidi w:val="0"/>
        <w:adjustRightInd/>
        <w:snapToGrid/>
        <w:spacing w:line="360" w:lineRule="auto"/>
        <w:ind w:left="0" w:right="0"/>
        <w:jc w:val="both"/>
        <w:textAlignment w:val="auto"/>
        <w:rPr>
          <w:highlight w:val="none"/>
        </w:rPr>
      </w:pPr>
      <w:bookmarkStart w:id="147" w:name="_bookmark19"/>
      <w:bookmarkEnd w:id="147"/>
      <w:bookmarkStart w:id="148" w:name="3、评标程序"/>
      <w:bookmarkEnd w:id="148"/>
      <w:r>
        <w:rPr>
          <w:highlight w:val="none"/>
        </w:rPr>
        <w:t>3、评标程序</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bookmarkStart w:id="149" w:name="3.1 资格审查"/>
      <w:bookmarkEnd w:id="149"/>
      <w:r>
        <w:rPr>
          <w:highlight w:val="none"/>
        </w:rPr>
        <w:t>3.1 资格审查</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spacing w:val="-3"/>
          <w:highlight w:val="none"/>
        </w:rPr>
        <w:t>资格审查小组依据本章资格审查表规定的标准对投标文件进行资格审查，以确定供应商是否具备投标资格，有一项不符合评审标准的，资格审查小组应当认定其投标无效，合格供应商</w:t>
      </w:r>
      <w:r>
        <w:rPr>
          <w:highlight w:val="none"/>
        </w:rPr>
        <w:t>不足</w:t>
      </w:r>
      <w:r>
        <w:rPr>
          <w:spacing w:val="-60"/>
          <w:highlight w:val="none"/>
        </w:rPr>
        <w:t xml:space="preserve"> </w:t>
      </w:r>
      <w:r>
        <w:rPr>
          <w:highlight w:val="none"/>
        </w:rPr>
        <w:t>3</w:t>
      </w:r>
      <w:r>
        <w:rPr>
          <w:spacing w:val="-60"/>
          <w:highlight w:val="none"/>
        </w:rPr>
        <w:t xml:space="preserve"> </w:t>
      </w:r>
      <w:r>
        <w:rPr>
          <w:highlight w:val="none"/>
        </w:rPr>
        <w:t>家的，不得评标。</w:t>
      </w:r>
    </w:p>
    <w:p>
      <w:pPr>
        <w:pStyle w:val="6"/>
        <w:keepNext w:val="0"/>
        <w:keepLines w:val="0"/>
        <w:pageBreakBefore w:val="0"/>
        <w:widowControl w:val="0"/>
        <w:kinsoku/>
        <w:wordWrap/>
        <w:overflowPunct/>
        <w:topLinePunct w:val="0"/>
        <w:autoSpaceDE/>
        <w:autoSpaceDN/>
        <w:bidi w:val="0"/>
        <w:adjustRightInd/>
        <w:snapToGrid/>
        <w:spacing w:before="0" w:line="360" w:lineRule="auto"/>
        <w:ind w:right="0"/>
        <w:jc w:val="both"/>
        <w:textAlignment w:val="auto"/>
        <w:rPr>
          <w:highlight w:val="none"/>
        </w:rPr>
      </w:pPr>
      <w:bookmarkStart w:id="150" w:name="3.2 符合性审查"/>
      <w:bookmarkEnd w:id="150"/>
      <w:r>
        <w:rPr>
          <w:highlight w:val="none"/>
        </w:rPr>
        <w:t xml:space="preserve">3.2 符合性审查 </w:t>
      </w:r>
    </w:p>
    <w:p>
      <w:pPr>
        <w:pStyle w:val="6"/>
        <w:keepNext w:val="0"/>
        <w:keepLines w:val="0"/>
        <w:pageBreakBefore w:val="0"/>
        <w:widowControl w:val="0"/>
        <w:kinsoku/>
        <w:wordWrap/>
        <w:overflowPunct/>
        <w:topLinePunct w:val="0"/>
        <w:autoSpaceDE/>
        <w:autoSpaceDN/>
        <w:bidi w:val="0"/>
        <w:adjustRightInd/>
        <w:snapToGrid/>
        <w:spacing w:before="0" w:line="360" w:lineRule="auto"/>
        <w:ind w:right="0" w:firstLine="702" w:firstLineChars="300"/>
        <w:jc w:val="both"/>
        <w:textAlignment w:val="auto"/>
        <w:rPr>
          <w:highlight w:val="none"/>
        </w:rPr>
      </w:pPr>
      <w:r>
        <w:rPr>
          <w:spacing w:val="-3"/>
          <w:highlight w:val="none"/>
        </w:rPr>
        <w:t>评标委员会依据本章符合性审查表规定的标准，对符合资格的供应商的投标文件进行符合性审查，以确定其是否满足招标文件的实质性要求，有一项不符合评审标准的，评标委员会应</w:t>
      </w:r>
      <w:r>
        <w:rPr>
          <w:spacing w:val="-85"/>
          <w:highlight w:val="none"/>
        </w:rPr>
        <w:t xml:space="preserve"> </w:t>
      </w:r>
      <w:r>
        <w:rPr>
          <w:highlight w:val="none"/>
        </w:rPr>
        <w:t>当认定其投标无效。</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bookmarkStart w:id="151" w:name="3.3 投标报价有算术错误及其他错误的，评标委员会按以下原则要求供应商对投标报价"/>
      <w:bookmarkEnd w:id="151"/>
      <w:r>
        <w:rPr>
          <w:highlight w:val="none"/>
        </w:rPr>
        <w:t>3.3</w:t>
      </w:r>
      <w:r>
        <w:rPr>
          <w:spacing w:val="26"/>
          <w:highlight w:val="none"/>
        </w:rPr>
        <w:t xml:space="preserve"> </w:t>
      </w:r>
      <w:r>
        <w:rPr>
          <w:spacing w:val="-3"/>
          <w:highlight w:val="none"/>
        </w:rPr>
        <w:t>投标报价有算术错误及其他错误的，评标委员会按以下原则要求供应商对投标报价进行修</w:t>
      </w:r>
      <w:r>
        <w:rPr>
          <w:highlight w:val="none"/>
        </w:rPr>
        <w:t>正</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3.3.1 投标文件中投标函内容与投标文件中相应内容不一致的，以投标函为准；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3.3.2 大写金额和小写金额不一致的，以大写金额为准；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3.3.3</w:t>
      </w:r>
      <w:r>
        <w:rPr>
          <w:spacing w:val="12"/>
          <w:highlight w:val="none"/>
        </w:rPr>
        <w:t xml:space="preserve"> </w:t>
      </w:r>
      <w:r>
        <w:rPr>
          <w:spacing w:val="-6"/>
          <w:highlight w:val="none"/>
        </w:rPr>
        <w:t>单价金额小数点或者百分比有明显错位的，以</w:t>
      </w:r>
      <w:r>
        <w:rPr>
          <w:rFonts w:hint="eastAsia"/>
          <w:spacing w:val="-6"/>
          <w:highlight w:val="none"/>
          <w:lang w:eastAsia="zh-CN"/>
        </w:rPr>
        <w:t>投标函附录</w:t>
      </w:r>
      <w:r>
        <w:rPr>
          <w:spacing w:val="-6"/>
          <w:highlight w:val="none"/>
        </w:rPr>
        <w:t>的总价为准，并修改单价；</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3.3.4 总价金额与按单价汇总金额不一致的，以单价金额计算结果为准。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3.3.5</w:t>
      </w:r>
      <w:r>
        <w:rPr>
          <w:spacing w:val="-70"/>
          <w:highlight w:val="none"/>
        </w:rPr>
        <w:t xml:space="preserve"> </w:t>
      </w:r>
      <w:r>
        <w:rPr>
          <w:highlight w:val="none"/>
        </w:rPr>
        <w:t>同时出现两种以上不一致的，按照前款规定的顺序修正。修正后的报价应当采用书</w:t>
      </w:r>
      <w:r>
        <w:rPr>
          <w:spacing w:val="-5"/>
          <w:highlight w:val="none"/>
        </w:rPr>
        <w:t>面形式，并加盖公章，或者由法定代表人或其授权的代表签字，供应商不确认的，其投标无效。</w:t>
      </w:r>
      <w:r>
        <w:rPr>
          <w:highlight w:val="none"/>
        </w:rPr>
        <w:t xml:space="preserve"> </w:t>
      </w:r>
      <w:bookmarkStart w:id="152" w:name="3.4 详细评审"/>
      <w:bookmarkEnd w:id="152"/>
    </w:p>
    <w:p>
      <w:pPr>
        <w:pStyle w:val="6"/>
        <w:keepNext w:val="0"/>
        <w:keepLines w:val="0"/>
        <w:pageBreakBefore w:val="0"/>
        <w:widowControl w:val="0"/>
        <w:kinsoku/>
        <w:wordWrap/>
        <w:overflowPunct/>
        <w:topLinePunct w:val="0"/>
        <w:autoSpaceDE/>
        <w:autoSpaceDN/>
        <w:bidi w:val="0"/>
        <w:adjustRightInd/>
        <w:snapToGrid/>
        <w:spacing w:before="0" w:line="360" w:lineRule="auto"/>
        <w:ind w:right="0"/>
        <w:jc w:val="both"/>
        <w:textAlignment w:val="auto"/>
        <w:rPr>
          <w:highlight w:val="none"/>
        </w:rPr>
      </w:pPr>
      <w:r>
        <w:rPr>
          <w:highlight w:val="none"/>
        </w:rPr>
        <w:t>3.4 详细评审</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3.4.1 评标委员会按本章第 2.2</w:t>
      </w:r>
      <w:r>
        <w:rPr>
          <w:spacing w:val="-34"/>
          <w:highlight w:val="none"/>
        </w:rPr>
        <w:t xml:space="preserve"> </w:t>
      </w:r>
      <w:r>
        <w:rPr>
          <w:spacing w:val="2"/>
          <w:highlight w:val="none"/>
        </w:rPr>
        <w:t>款规定的量化因素和分值进行打分，并计算出综合评估</w:t>
      </w:r>
      <w:r>
        <w:rPr>
          <w:highlight w:val="none"/>
        </w:rPr>
        <w:t>得分。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3.4.2 评分分值计算保留小数点后两位，小数点后第三位“四舍五入”。</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3.4.3 供应商得分等于投标报价、技术部分、商务部分、其他评分因素等汇总得分。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3.4.4</w:t>
      </w:r>
      <w:r>
        <w:rPr>
          <w:spacing w:val="17"/>
          <w:highlight w:val="none"/>
        </w:rPr>
        <w:t xml:space="preserve"> </w:t>
      </w:r>
      <w:r>
        <w:rPr>
          <w:spacing w:val="-3"/>
          <w:highlight w:val="none"/>
        </w:rPr>
        <w:t>评标委员会发现供应商的报价明显低于其他投标报价，或者在设有标底时明显低于标底，使得其投标报价可能低于其个别成本的，应当要求该供应商作出书面说明并提供相应的</w:t>
      </w:r>
      <w:r>
        <w:rPr>
          <w:spacing w:val="-87"/>
          <w:highlight w:val="none"/>
        </w:rPr>
        <w:t xml:space="preserve"> </w:t>
      </w:r>
      <w:r>
        <w:rPr>
          <w:spacing w:val="-3"/>
          <w:highlight w:val="none"/>
        </w:rPr>
        <w:t>证明材料。供应商不能合理说明或者不能提供相应证明材料的，由评标委员会认定该供应商以</w:t>
      </w:r>
      <w:r>
        <w:rPr>
          <w:spacing w:val="-87"/>
          <w:highlight w:val="none"/>
        </w:rPr>
        <w:t xml:space="preserve"> </w:t>
      </w:r>
      <w:r>
        <w:rPr>
          <w:highlight w:val="none"/>
        </w:rPr>
        <w:t>低于成本报价竞标，其投标作废标处理。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bookmarkStart w:id="153" w:name="3.5 投标文件的澄清和补正"/>
      <w:bookmarkEnd w:id="153"/>
      <w:r>
        <w:rPr>
          <w:highlight w:val="none"/>
        </w:rPr>
        <w:t>3.5 投标文件的澄清和补正</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3.5.1</w:t>
      </w:r>
      <w:r>
        <w:rPr>
          <w:spacing w:val="17"/>
          <w:highlight w:val="none"/>
        </w:rPr>
        <w:t xml:space="preserve"> </w:t>
      </w:r>
      <w:r>
        <w:rPr>
          <w:spacing w:val="-3"/>
          <w:highlight w:val="none"/>
        </w:rPr>
        <w:t>在评标过程中，评标委员会可以书面形式要求供应商对所提交投标文件中不明确的内容进行书面澄清或说明，或者对细微偏差进行补正。评标委员会不接受供应商主动提出的澄</w:t>
      </w:r>
      <w:r>
        <w:rPr>
          <w:spacing w:val="-87"/>
          <w:highlight w:val="none"/>
        </w:rPr>
        <w:t xml:space="preserve"> </w:t>
      </w:r>
      <w:r>
        <w:rPr>
          <w:highlight w:val="none"/>
        </w:rPr>
        <w:t>清、说明或补正。</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3.5.2</w:t>
      </w:r>
      <w:r>
        <w:rPr>
          <w:spacing w:val="16"/>
          <w:highlight w:val="none"/>
        </w:rPr>
        <w:t xml:space="preserve"> </w:t>
      </w:r>
      <w:r>
        <w:rPr>
          <w:spacing w:val="-3"/>
          <w:highlight w:val="none"/>
        </w:rPr>
        <w:t>澄清、说明和补正不得改变投标文件的实质性内容（算术性错误修正的除外）。供</w:t>
      </w:r>
      <w:r>
        <w:rPr>
          <w:highlight w:val="none"/>
        </w:rPr>
        <w:t xml:space="preserve"> 应商的书面澄清、说明和补正属于投标文件的组成部分。</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3.5.3</w:t>
      </w:r>
      <w:r>
        <w:rPr>
          <w:spacing w:val="16"/>
          <w:highlight w:val="none"/>
        </w:rPr>
        <w:t xml:space="preserve"> </w:t>
      </w:r>
      <w:r>
        <w:rPr>
          <w:spacing w:val="-3"/>
          <w:highlight w:val="none"/>
        </w:rPr>
        <w:t>评标委员会对供应商提交的澄清、说明或补正有疑问的，可以要求供应商进一步澄</w:t>
      </w:r>
      <w:r>
        <w:rPr>
          <w:highlight w:val="none"/>
        </w:rPr>
        <w:t xml:space="preserve"> 清、说明或补正，直至满足评标委员会的要求。</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jc w:val="both"/>
        <w:textAlignment w:val="auto"/>
        <w:rPr>
          <w:highlight w:val="none"/>
        </w:rPr>
      </w:pPr>
      <w:bookmarkStart w:id="154" w:name="3.6 评标结果"/>
      <w:bookmarkEnd w:id="154"/>
      <w:r>
        <w:rPr>
          <w:highlight w:val="none"/>
        </w:rPr>
        <w:t>3.6 评标结果</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jc w:val="both"/>
        <w:textAlignment w:val="auto"/>
        <w:rPr>
          <w:highlight w:val="none"/>
        </w:rPr>
      </w:pPr>
      <w:r>
        <w:rPr>
          <w:highlight w:val="none"/>
        </w:rPr>
        <w:t>3.6.1</w:t>
      </w:r>
      <w:r>
        <w:rPr>
          <w:spacing w:val="19"/>
          <w:highlight w:val="none"/>
        </w:rPr>
        <w:t xml:space="preserve"> </w:t>
      </w:r>
      <w:r>
        <w:rPr>
          <w:spacing w:val="-3"/>
          <w:highlight w:val="none"/>
        </w:rPr>
        <w:t>除第二章“供应商须知”前附表授权直接确定中标人外，评标委员会按照得分高到</w:t>
      </w:r>
      <w:r>
        <w:rPr>
          <w:highlight w:val="none"/>
        </w:rPr>
        <w:t xml:space="preserve"> 低的顺序推荐中标候选人。</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highlight w:val="none"/>
        </w:rPr>
      </w:pPr>
      <w:r>
        <w:rPr>
          <w:highlight w:val="none"/>
        </w:rPr>
        <w:t>3.6.2 评标委员会完成评标后，由应当向采购人提交书面评标报告。</w:t>
      </w: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hAnsi="宋体"/>
          <w:sz w:val="28"/>
          <w:szCs w:val="32"/>
          <w:highlight w:val="none"/>
        </w:rPr>
      </w:pPr>
    </w:p>
    <w:p>
      <w:pPr>
        <w:autoSpaceDE w:val="0"/>
        <w:autoSpaceDN w:val="0"/>
        <w:adjustRightInd w:val="0"/>
        <w:spacing w:line="360" w:lineRule="auto"/>
        <w:jc w:val="left"/>
        <w:rPr>
          <w:rFonts w:hint="eastAsia" w:ascii="宋体"/>
          <w:sz w:val="28"/>
          <w:szCs w:val="32"/>
          <w:highlight w:val="none"/>
        </w:rPr>
      </w:pPr>
      <w:r>
        <w:rPr>
          <w:rFonts w:hint="eastAsia" w:ascii="宋体" w:hAnsi="宋体"/>
          <w:sz w:val="28"/>
          <w:szCs w:val="32"/>
          <w:highlight w:val="none"/>
        </w:rPr>
        <w:t>附件一</w:t>
      </w:r>
    </w:p>
    <w:p>
      <w:pPr>
        <w:spacing w:line="360" w:lineRule="auto"/>
        <w:jc w:val="center"/>
        <w:rPr>
          <w:sz w:val="32"/>
          <w:szCs w:val="32"/>
          <w:highlight w:val="none"/>
        </w:rPr>
      </w:pPr>
      <w:r>
        <w:rPr>
          <w:rFonts w:hint="eastAsia"/>
          <w:sz w:val="32"/>
          <w:szCs w:val="32"/>
          <w:highlight w:val="none"/>
        </w:rPr>
        <w:t>废标条件</w:t>
      </w:r>
    </w:p>
    <w:p>
      <w:pPr>
        <w:spacing w:line="432" w:lineRule="auto"/>
        <w:ind w:firstLine="480" w:firstLineChars="200"/>
        <w:jc w:val="left"/>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、总则</w:t>
      </w:r>
    </w:p>
    <w:p>
      <w:pPr>
        <w:autoSpaceDE w:val="0"/>
        <w:autoSpaceDN w:val="0"/>
        <w:adjustRightInd w:val="0"/>
        <w:spacing w:line="432" w:lineRule="auto"/>
        <w:ind w:firstLine="480" w:firstLineChars="200"/>
        <w:jc w:val="left"/>
        <w:rPr>
          <w:rFonts w:ascii="宋体" w:cs="宋体"/>
          <w:kern w:val="0"/>
          <w:sz w:val="24"/>
          <w:szCs w:val="24"/>
          <w:highlight w:val="none"/>
        </w:rPr>
      </w:pPr>
      <w:r>
        <w:rPr>
          <w:rFonts w:hint="eastAsia" w:ascii="宋体" w:hAnsi="宋体" w:cs="宋体"/>
          <w:kern w:val="0"/>
          <w:sz w:val="24"/>
          <w:szCs w:val="24"/>
          <w:highlight w:val="none"/>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spacing w:line="432" w:lineRule="auto"/>
        <w:ind w:firstLine="480" w:firstLineChars="200"/>
        <w:jc w:val="left"/>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、废标条件</w:t>
      </w:r>
    </w:p>
    <w:p>
      <w:pPr>
        <w:spacing w:line="432" w:lineRule="auto"/>
        <w:ind w:firstLine="480" w:firstLineChars="200"/>
        <w:jc w:val="left"/>
        <w:rPr>
          <w:rFonts w:ascii="宋体" w:cs="宋体"/>
          <w:sz w:val="24"/>
          <w:szCs w:val="24"/>
          <w:highlight w:val="none"/>
        </w:rPr>
      </w:pPr>
      <w:r>
        <w:rPr>
          <w:rFonts w:hint="eastAsia" w:ascii="宋体" w:hAnsi="宋体" w:cs="宋体"/>
          <w:sz w:val="24"/>
          <w:szCs w:val="24"/>
          <w:highlight w:val="none"/>
        </w:rPr>
        <w:t>有下列情形之一的，评标委员会应当否决其投标：</w:t>
      </w:r>
    </w:p>
    <w:p>
      <w:pPr>
        <w:autoSpaceDE w:val="0"/>
        <w:autoSpaceDN w:val="0"/>
        <w:adjustRightInd w:val="0"/>
        <w:spacing w:line="432" w:lineRule="auto"/>
        <w:ind w:firstLine="480" w:firstLineChars="200"/>
        <w:jc w:val="left"/>
        <w:rPr>
          <w:rFonts w:ascii="宋体" w:cs="宋体"/>
          <w:kern w:val="0"/>
          <w:sz w:val="24"/>
          <w:szCs w:val="24"/>
          <w:highlight w:val="none"/>
        </w:rPr>
      </w:pPr>
      <w:r>
        <w:rPr>
          <w:rFonts w:ascii="宋体" w:hAnsi="宋体" w:cs="宋体"/>
          <w:kern w:val="0"/>
          <w:sz w:val="24"/>
          <w:szCs w:val="24"/>
          <w:highlight w:val="none"/>
        </w:rPr>
        <w:t>2.1</w:t>
      </w:r>
      <w:r>
        <w:rPr>
          <w:rFonts w:hint="eastAsia" w:ascii="宋体" w:hAnsi="宋体" w:cs="宋体"/>
          <w:kern w:val="0"/>
          <w:sz w:val="24"/>
          <w:szCs w:val="24"/>
          <w:highlight w:val="none"/>
        </w:rPr>
        <w:t>有第二章“投标人须知”第</w:t>
      </w:r>
      <w:r>
        <w:rPr>
          <w:rFonts w:ascii="宋体" w:hAnsi="宋体" w:cs="宋体"/>
          <w:kern w:val="0"/>
          <w:sz w:val="24"/>
          <w:szCs w:val="24"/>
          <w:highlight w:val="none"/>
        </w:rPr>
        <w:t>1.4.</w:t>
      </w:r>
      <w:r>
        <w:rPr>
          <w:rFonts w:hint="eastAsia" w:ascii="宋体" w:hAnsi="宋体" w:cs="宋体"/>
          <w:kern w:val="0"/>
          <w:sz w:val="24"/>
          <w:szCs w:val="24"/>
          <w:highlight w:val="none"/>
        </w:rPr>
        <w:t>3项规定的任何一种情形；</w:t>
      </w:r>
    </w:p>
    <w:p>
      <w:pPr>
        <w:autoSpaceDE w:val="0"/>
        <w:autoSpaceDN w:val="0"/>
        <w:adjustRightInd w:val="0"/>
        <w:spacing w:line="432" w:lineRule="auto"/>
        <w:ind w:firstLine="480" w:firstLineChars="200"/>
        <w:jc w:val="left"/>
        <w:rPr>
          <w:rFonts w:ascii="宋体" w:cs="宋体"/>
          <w:kern w:val="0"/>
          <w:sz w:val="24"/>
          <w:szCs w:val="24"/>
          <w:highlight w:val="none"/>
        </w:rPr>
      </w:pPr>
      <w:r>
        <w:rPr>
          <w:rFonts w:ascii="宋体" w:hAnsi="宋体" w:cs="宋体"/>
          <w:kern w:val="0"/>
          <w:sz w:val="24"/>
          <w:szCs w:val="24"/>
          <w:highlight w:val="none"/>
        </w:rPr>
        <w:t>2.2</w:t>
      </w:r>
      <w:r>
        <w:rPr>
          <w:rFonts w:hint="eastAsia" w:ascii="宋体" w:hAnsi="宋体" w:cs="宋体"/>
          <w:kern w:val="0"/>
          <w:sz w:val="24"/>
          <w:szCs w:val="24"/>
          <w:highlight w:val="none"/>
        </w:rPr>
        <w:t>有串通投标或弄虚作假或其他违法行为的；</w:t>
      </w:r>
    </w:p>
    <w:p>
      <w:pPr>
        <w:autoSpaceDE w:val="0"/>
        <w:autoSpaceDN w:val="0"/>
        <w:adjustRightInd w:val="0"/>
        <w:spacing w:line="432" w:lineRule="auto"/>
        <w:ind w:firstLine="480" w:firstLineChars="200"/>
        <w:jc w:val="left"/>
        <w:rPr>
          <w:rFonts w:ascii="宋体" w:cs="宋体"/>
          <w:kern w:val="0"/>
          <w:sz w:val="24"/>
          <w:szCs w:val="24"/>
          <w:highlight w:val="none"/>
        </w:rPr>
      </w:pPr>
      <w:r>
        <w:rPr>
          <w:rFonts w:ascii="宋体" w:hAnsi="宋体" w:cs="宋体"/>
          <w:kern w:val="0"/>
          <w:sz w:val="24"/>
          <w:szCs w:val="24"/>
          <w:highlight w:val="none"/>
        </w:rPr>
        <w:t>2.3</w:t>
      </w:r>
      <w:r>
        <w:rPr>
          <w:rFonts w:hint="eastAsia" w:ascii="宋体" w:hAnsi="宋体" w:cs="宋体"/>
          <w:kern w:val="0"/>
          <w:sz w:val="24"/>
          <w:szCs w:val="24"/>
          <w:highlight w:val="none"/>
        </w:rPr>
        <w:t>不按评标委员会要求澄清、说明或补正的；</w:t>
      </w:r>
    </w:p>
    <w:p>
      <w:pPr>
        <w:autoSpaceDE w:val="0"/>
        <w:autoSpaceDN w:val="0"/>
        <w:adjustRightInd w:val="0"/>
        <w:spacing w:line="432" w:lineRule="auto"/>
        <w:ind w:firstLine="480" w:firstLineChars="200"/>
        <w:jc w:val="left"/>
        <w:rPr>
          <w:rFonts w:ascii="宋体" w:cs="宋体"/>
          <w:kern w:val="0"/>
          <w:sz w:val="24"/>
          <w:szCs w:val="24"/>
          <w:highlight w:val="none"/>
        </w:rPr>
      </w:pPr>
      <w:r>
        <w:rPr>
          <w:rFonts w:ascii="宋体" w:hAnsi="宋体" w:cs="宋体"/>
          <w:kern w:val="0"/>
          <w:sz w:val="24"/>
          <w:szCs w:val="24"/>
          <w:highlight w:val="none"/>
        </w:rPr>
        <w:t>2.4</w:t>
      </w:r>
      <w:r>
        <w:rPr>
          <w:rFonts w:hint="eastAsia" w:ascii="宋体" w:hAnsi="宋体" w:cs="宋体"/>
          <w:kern w:val="0"/>
          <w:sz w:val="24"/>
          <w:szCs w:val="24"/>
          <w:highlight w:val="none"/>
        </w:rPr>
        <w:t>在形式评审、资格评审、响应性评审中，评标委员会认定投标人的投标不符合评标办法前附表中规定的任何一项评审标准的；</w:t>
      </w:r>
    </w:p>
    <w:p>
      <w:pPr>
        <w:autoSpaceDE w:val="0"/>
        <w:autoSpaceDN w:val="0"/>
        <w:adjustRightInd w:val="0"/>
        <w:spacing w:line="432" w:lineRule="auto"/>
        <w:ind w:firstLine="480" w:firstLineChars="200"/>
        <w:jc w:val="left"/>
        <w:rPr>
          <w:rFonts w:ascii="宋体" w:cs="宋体"/>
          <w:kern w:val="0"/>
          <w:sz w:val="24"/>
          <w:szCs w:val="24"/>
          <w:highlight w:val="none"/>
        </w:rPr>
      </w:pPr>
      <w:r>
        <w:rPr>
          <w:rFonts w:ascii="宋体" w:hAnsi="宋体" w:cs="宋体"/>
          <w:kern w:val="0"/>
          <w:sz w:val="24"/>
          <w:szCs w:val="24"/>
          <w:highlight w:val="none"/>
        </w:rPr>
        <w:t>2.5</w:t>
      </w:r>
      <w:r>
        <w:rPr>
          <w:rFonts w:hint="eastAsia" w:ascii="宋体" w:hAnsi="宋体" w:cs="宋体"/>
          <w:kern w:val="0"/>
          <w:sz w:val="24"/>
          <w:szCs w:val="24"/>
          <w:highlight w:val="none"/>
        </w:rPr>
        <w:t>在评审中评标委员会认定投标人的投标文件未实质性响应投标文件的；</w:t>
      </w:r>
    </w:p>
    <w:p>
      <w:pPr>
        <w:autoSpaceDE w:val="0"/>
        <w:autoSpaceDN w:val="0"/>
        <w:adjustRightInd w:val="0"/>
        <w:spacing w:line="432" w:lineRule="auto"/>
        <w:ind w:firstLine="480" w:firstLineChars="200"/>
        <w:jc w:val="left"/>
        <w:rPr>
          <w:sz w:val="24"/>
          <w:szCs w:val="24"/>
          <w:highlight w:val="none"/>
        </w:rPr>
      </w:pPr>
      <w:r>
        <w:rPr>
          <w:rFonts w:ascii="宋体" w:hAnsi="宋体" w:cs="宋体"/>
          <w:kern w:val="0"/>
          <w:sz w:val="24"/>
          <w:szCs w:val="24"/>
          <w:highlight w:val="none"/>
        </w:rPr>
        <w:t>2.</w:t>
      </w:r>
      <w:r>
        <w:rPr>
          <w:rFonts w:hint="eastAsia" w:ascii="宋体" w:hAnsi="宋体" w:eastAsia="宋体" w:cs="宋体"/>
          <w:kern w:val="0"/>
          <w:sz w:val="24"/>
          <w:szCs w:val="24"/>
          <w:highlight w:val="none"/>
          <w:lang w:val="en-US" w:eastAsia="zh-CN"/>
        </w:rPr>
        <w:t>6</w:t>
      </w:r>
      <w:r>
        <w:rPr>
          <w:rFonts w:hint="eastAsia" w:ascii="宋体" w:hAnsi="宋体" w:cs="宋体"/>
          <w:kern w:val="0"/>
          <w:sz w:val="24"/>
          <w:szCs w:val="24"/>
          <w:highlight w:val="none"/>
        </w:rPr>
        <w:t>投标人在编制投标文件时，投标人名称与营业执照不一致；</w:t>
      </w:r>
    </w:p>
    <w:p>
      <w:pPr>
        <w:autoSpaceDE w:val="0"/>
        <w:autoSpaceDN w:val="0"/>
        <w:adjustRightInd w:val="0"/>
        <w:spacing w:line="432" w:lineRule="auto"/>
        <w:ind w:firstLine="480" w:firstLineChars="200"/>
        <w:jc w:val="left"/>
        <w:rPr>
          <w:rFonts w:hint="eastAsia" w:ascii="宋体" w:hAnsi="宋体" w:cs="宋体"/>
          <w:kern w:val="0"/>
          <w:sz w:val="24"/>
          <w:szCs w:val="24"/>
          <w:highlight w:val="none"/>
        </w:rPr>
      </w:pPr>
      <w:r>
        <w:rPr>
          <w:rFonts w:ascii="宋体" w:hAnsi="宋体" w:cs="宋体"/>
          <w:kern w:val="0"/>
          <w:sz w:val="24"/>
          <w:szCs w:val="24"/>
          <w:highlight w:val="none"/>
        </w:rPr>
        <w:t>2.</w:t>
      </w:r>
      <w:r>
        <w:rPr>
          <w:rFonts w:hint="eastAsia" w:ascii="宋体" w:hAnsi="宋体" w:eastAsia="宋体" w:cs="宋体"/>
          <w:kern w:val="0"/>
          <w:sz w:val="24"/>
          <w:szCs w:val="24"/>
          <w:highlight w:val="none"/>
          <w:lang w:val="en-US" w:eastAsia="zh-CN"/>
        </w:rPr>
        <w:t>7</w:t>
      </w:r>
      <w:r>
        <w:rPr>
          <w:rFonts w:hint="eastAsia"/>
          <w:sz w:val="24"/>
          <w:szCs w:val="24"/>
          <w:highlight w:val="none"/>
        </w:rPr>
        <w:t>投标人的投标文件格式未响应招标文件要求的</w:t>
      </w:r>
      <w:r>
        <w:rPr>
          <w:rFonts w:hint="eastAsia" w:ascii="宋体" w:hAnsi="宋体" w:cs="宋体"/>
          <w:kern w:val="0"/>
          <w:sz w:val="24"/>
          <w:szCs w:val="24"/>
          <w:highlight w:val="none"/>
        </w:rPr>
        <w:t>；</w:t>
      </w:r>
    </w:p>
    <w:p>
      <w:pPr>
        <w:autoSpaceDE w:val="0"/>
        <w:autoSpaceDN w:val="0"/>
        <w:adjustRightInd w:val="0"/>
        <w:spacing w:line="432"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2.10投标文件有重大偏差的（1、投标文件未按照招标文件要求签字盖章的；2、投标文件载明的如标项目完成期限超过招标文件规定的期限；</w:t>
      </w:r>
      <w:r>
        <w:rPr>
          <w:rFonts w:hint="eastAsia" w:ascii="宋体" w:hAnsi="宋体" w:eastAsia="宋体" w:cs="宋体"/>
          <w:kern w:val="0"/>
          <w:sz w:val="24"/>
          <w:szCs w:val="24"/>
          <w:highlight w:val="none"/>
          <w:lang w:val="en-US" w:eastAsia="zh-CN"/>
        </w:rPr>
        <w:t>3</w:t>
      </w:r>
      <w:r>
        <w:rPr>
          <w:rFonts w:hint="eastAsia" w:ascii="宋体" w:hAnsi="宋体" w:cs="宋体"/>
          <w:kern w:val="0"/>
          <w:sz w:val="24"/>
          <w:szCs w:val="24"/>
          <w:highlight w:val="none"/>
        </w:rPr>
        <w:t>、不符合招标文件中规定的其他实质性要求……）。</w:t>
      </w:r>
    </w:p>
    <w:p>
      <w:pPr>
        <w:spacing w:after="0" w:line="240" w:lineRule="auto"/>
        <w:jc w:val="left"/>
        <w:rPr>
          <w:highlight w:val="none"/>
        </w:rPr>
        <w:sectPr>
          <w:headerReference r:id="rId15" w:type="default"/>
          <w:footerReference r:id="rId16" w:type="default"/>
          <w:pgSz w:w="11910" w:h="16840"/>
          <w:pgMar w:top="1040" w:right="900" w:bottom="1060" w:left="880" w:header="878" w:footer="872" w:gutter="0"/>
          <w:pgBorders>
            <w:top w:val="none" w:sz="0" w:space="0"/>
            <w:left w:val="none" w:sz="0" w:space="0"/>
            <w:bottom w:val="none" w:sz="0" w:space="0"/>
            <w:right w:val="none" w:sz="0" w:space="0"/>
          </w:pgBorders>
          <w:pgNumType w:fmt="decimal"/>
          <w:cols w:space="720" w:num="1"/>
        </w:sectPr>
      </w:pPr>
    </w:p>
    <w:p>
      <w:pPr>
        <w:spacing w:line="57" w:lineRule="exact"/>
        <w:ind w:left="111" w:right="0" w:firstLine="0"/>
        <w:rPr>
          <w:rFonts w:ascii="宋体" w:hAnsi="宋体" w:eastAsia="宋体" w:cs="宋体"/>
          <w:sz w:val="5"/>
          <w:szCs w:val="5"/>
          <w:highlight w:val="none"/>
        </w:rPr>
      </w:pPr>
      <w:bookmarkStart w:id="155" w:name="3.7本项目落实节能环保、中小微型企业扶持等相关政府采购政策"/>
      <w:bookmarkEnd w:id="155"/>
    </w:p>
    <w:p>
      <w:pPr>
        <w:pStyle w:val="3"/>
        <w:keepNext w:val="0"/>
        <w:keepLines w:val="0"/>
        <w:pageBreakBefore w:val="0"/>
        <w:widowControl w:val="0"/>
        <w:numPr>
          <w:ilvl w:val="0"/>
          <w:numId w:val="3"/>
        </w:numPr>
        <w:kinsoku/>
        <w:wordWrap/>
        <w:overflowPunct/>
        <w:topLinePunct w:val="0"/>
        <w:autoSpaceDE/>
        <w:autoSpaceDN/>
        <w:bidi w:val="0"/>
        <w:adjustRightInd/>
        <w:snapToGrid/>
        <w:spacing w:before="39" w:line="360" w:lineRule="auto"/>
        <w:ind w:left="3125" w:leftChars="0" w:right="0" w:firstLine="0" w:firstLineChars="0"/>
        <w:jc w:val="both"/>
        <w:textAlignment w:val="auto"/>
        <w:rPr>
          <w:rFonts w:hint="eastAsia" w:eastAsia="宋体"/>
          <w:highlight w:val="none"/>
          <w:lang w:val="en-US" w:eastAsia="zh-CN"/>
        </w:rPr>
      </w:pPr>
      <w:bookmarkStart w:id="156" w:name="_bookmark20"/>
      <w:bookmarkEnd w:id="156"/>
      <w:bookmarkStart w:id="157" w:name="第四章 合同条款及格式"/>
      <w:bookmarkEnd w:id="157"/>
      <w:r>
        <w:rPr>
          <w:highlight w:val="none"/>
        </w:rPr>
        <w:t>合同条款及格式</w:t>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highlight w:val="none"/>
          <w:lang w:val="en-US" w:eastAsia="zh-CN"/>
        </w:rPr>
      </w:pPr>
      <w:r>
        <w:rPr>
          <w:rFonts w:hint="eastAsia"/>
          <w:highlight w:val="none"/>
          <w:lang w:val="en-US" w:eastAsia="zh-CN"/>
        </w:rPr>
        <w:t xml:space="preserve">                    （仅供参考）</w:t>
      </w:r>
    </w:p>
    <w:p>
      <w:pPr>
        <w:keepNext w:val="0"/>
        <w:keepLines w:val="0"/>
        <w:pageBreakBefore w:val="0"/>
        <w:widowControl w:val="0"/>
        <w:kinsoku/>
        <w:wordWrap/>
        <w:overflowPunct/>
        <w:topLinePunct w:val="0"/>
        <w:autoSpaceDE/>
        <w:autoSpaceDN/>
        <w:bidi w:val="0"/>
        <w:adjustRightInd/>
        <w:snapToGrid/>
        <w:spacing w:before="0" w:line="360" w:lineRule="auto"/>
        <w:jc w:val="both"/>
        <w:textAlignment w:val="auto"/>
        <w:rPr>
          <w:rFonts w:ascii="宋体" w:hAnsi="宋体" w:eastAsia="宋体" w:cs="宋体"/>
          <w:sz w:val="20"/>
          <w:szCs w:val="20"/>
          <w:highlight w:val="none"/>
        </w:rPr>
      </w:pPr>
    </w:p>
    <w:p>
      <w:pPr>
        <w:spacing w:before="2" w:line="240" w:lineRule="auto"/>
        <w:rPr>
          <w:rFonts w:ascii="宋体" w:hAnsi="宋体" w:eastAsia="宋体" w:cs="宋体"/>
          <w:sz w:val="14"/>
          <w:szCs w:val="14"/>
          <w:highlight w:val="none"/>
        </w:rPr>
      </w:pPr>
    </w:p>
    <w:p>
      <w:pPr>
        <w:pStyle w:val="2"/>
        <w:tabs>
          <w:tab w:val="left" w:pos="3816"/>
        </w:tabs>
        <w:spacing w:line="240" w:lineRule="auto"/>
        <w:ind w:left="2376" w:right="0"/>
        <w:jc w:val="left"/>
        <w:rPr>
          <w:rFonts w:hint="eastAsia" w:ascii="宋体" w:hAnsi="宋体" w:eastAsia="宋体" w:cs="宋体"/>
          <w:sz w:val="24"/>
          <w:szCs w:val="24"/>
          <w:highlight w:val="none"/>
        </w:rPr>
      </w:pPr>
      <w:bookmarkStart w:id="158" w:name="_bookmark21"/>
      <w:bookmarkEnd w:id="158"/>
      <w:bookmarkStart w:id="159" w:name="         设备购置项目（合同模板）"/>
      <w:bookmarkEnd w:id="159"/>
      <w:r>
        <w:rPr>
          <w:rFonts w:hint="eastAsia" w:ascii="宋体" w:hAnsi="宋体" w:eastAsia="宋体" w:cs="宋体"/>
          <w:w w:val="99"/>
          <w:sz w:val="24"/>
          <w:szCs w:val="24"/>
          <w:highlight w:val="none"/>
          <w:u w:val="single" w:color="000000"/>
        </w:rPr>
        <w:t xml:space="preserve"> </w:t>
      </w:r>
      <w:r>
        <w:rPr>
          <w:rFonts w:hint="eastAsia" w:ascii="宋体" w:hAnsi="宋体" w:eastAsia="宋体" w:cs="宋体"/>
          <w:sz w:val="24"/>
          <w:szCs w:val="24"/>
          <w:highlight w:val="none"/>
          <w:u w:val="single" w:color="000000"/>
        </w:rPr>
        <w:tab/>
      </w:r>
      <w:r>
        <w:rPr>
          <w:rFonts w:hint="eastAsia" w:ascii="宋体" w:hAnsi="宋体" w:eastAsia="宋体" w:cs="宋体"/>
          <w:sz w:val="24"/>
          <w:szCs w:val="24"/>
          <w:highlight w:val="none"/>
        </w:rPr>
        <w:t>设备购置项目（合同模板）</w:t>
      </w:r>
    </w:p>
    <w:p>
      <w:pPr>
        <w:spacing w:before="0" w:line="240" w:lineRule="auto"/>
        <w:rPr>
          <w:rFonts w:hint="eastAsia" w:ascii="宋体" w:hAnsi="宋体" w:eastAsia="宋体" w:cs="宋体"/>
          <w:sz w:val="24"/>
          <w:szCs w:val="24"/>
          <w:highlight w:val="none"/>
        </w:rPr>
      </w:pPr>
    </w:p>
    <w:p>
      <w:pPr>
        <w:keepNext w:val="0"/>
        <w:keepLines w:val="0"/>
        <w:pageBreakBefore w:val="0"/>
        <w:widowControl w:val="0"/>
        <w:tabs>
          <w:tab w:val="left" w:pos="3025"/>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u w:val="single" w:color="000000"/>
        </w:rPr>
      </w:pPr>
      <w:r>
        <w:rPr>
          <w:rFonts w:hint="eastAsia" w:ascii="宋体" w:hAnsi="宋体" w:eastAsia="宋体" w:cs="宋体"/>
          <w:sz w:val="24"/>
          <w:szCs w:val="24"/>
          <w:highlight w:val="none"/>
        </w:rPr>
        <w:t>合同编号：</w:t>
      </w:r>
      <w:r>
        <w:rPr>
          <w:rFonts w:hint="eastAsia" w:ascii="宋体" w:hAnsi="宋体" w:eastAsia="宋体" w:cs="宋体"/>
          <w:w w:val="99"/>
          <w:sz w:val="24"/>
          <w:szCs w:val="24"/>
          <w:highlight w:val="none"/>
          <w:u w:val="single" w:color="000000"/>
        </w:rPr>
        <w:t xml:space="preserve"> </w:t>
      </w:r>
      <w:r>
        <w:rPr>
          <w:rFonts w:hint="eastAsia" w:ascii="宋体" w:hAnsi="宋体" w:eastAsia="宋体" w:cs="宋体"/>
          <w:sz w:val="24"/>
          <w:szCs w:val="24"/>
          <w:highlight w:val="none"/>
          <w:u w:val="single" w:color="000000"/>
        </w:rPr>
        <w:tab/>
      </w:r>
    </w:p>
    <w:p>
      <w:pPr>
        <w:keepNext w:val="0"/>
        <w:keepLines w:val="0"/>
        <w:pageBreakBefore w:val="0"/>
        <w:widowControl w:val="0"/>
        <w:tabs>
          <w:tab w:val="left" w:pos="3025"/>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买方：</w:t>
      </w:r>
      <w:r>
        <w:rPr>
          <w:rFonts w:hint="eastAsia" w:ascii="宋体" w:hAnsi="宋体" w:eastAsia="宋体" w:cs="宋体"/>
          <w:sz w:val="24"/>
          <w:szCs w:val="24"/>
          <w:highlight w:val="none"/>
          <w:u w:val="single" w:color="000000"/>
          <w:lang w:val="en-US" w:eastAsia="zh-CN"/>
        </w:rPr>
        <w:t xml:space="preserve">              </w:t>
      </w:r>
      <w:r>
        <w:rPr>
          <w:rFonts w:hint="eastAsia" w:ascii="宋体" w:hAnsi="宋体" w:eastAsia="宋体" w:cs="宋体"/>
          <w:sz w:val="24"/>
          <w:szCs w:val="24"/>
          <w:highlight w:val="none"/>
        </w:rPr>
        <w:t>（以下简称甲方）</w:t>
      </w:r>
    </w:p>
    <w:p>
      <w:pPr>
        <w:keepNext w:val="0"/>
        <w:keepLines w:val="0"/>
        <w:pageBreakBefore w:val="0"/>
        <w:widowControl w:val="0"/>
        <w:tabs>
          <w:tab w:val="left" w:pos="3185"/>
        </w:tabs>
        <w:kinsoku/>
        <w:wordWrap/>
        <w:overflowPunct/>
        <w:topLinePunct w:val="0"/>
        <w:autoSpaceDE/>
        <w:autoSpaceDN/>
        <w:bidi w:val="0"/>
        <w:adjustRightInd/>
        <w:snapToGrid/>
        <w:spacing w:line="360" w:lineRule="auto"/>
        <w:ind w:left="0" w:right="0" w:firstLine="720" w:firstLineChars="3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卖方：</w:t>
      </w:r>
      <w:r>
        <w:rPr>
          <w:rFonts w:hint="eastAsia" w:ascii="宋体" w:hAnsi="宋体" w:eastAsia="宋体" w:cs="宋体"/>
          <w:w w:val="95"/>
          <w:sz w:val="24"/>
          <w:szCs w:val="24"/>
          <w:highlight w:val="none"/>
          <w:u w:val="single" w:color="000000"/>
        </w:rPr>
        <w:tab/>
      </w:r>
      <w:r>
        <w:rPr>
          <w:rFonts w:hint="eastAsia" w:ascii="宋体" w:hAnsi="宋体" w:eastAsia="宋体" w:cs="宋体"/>
          <w:sz w:val="24"/>
          <w:szCs w:val="24"/>
          <w:highlight w:val="none"/>
        </w:rPr>
        <w:t>（以下简称乙方）</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sz w:val="24"/>
          <w:szCs w:val="24"/>
          <w:highlight w:val="none"/>
        </w:rPr>
      </w:pPr>
    </w:p>
    <w:p>
      <w:pPr>
        <w:keepNext w:val="0"/>
        <w:keepLines w:val="0"/>
        <w:pageBreakBefore w:val="0"/>
        <w:widowControl w:val="0"/>
        <w:tabs>
          <w:tab w:val="left" w:pos="3814"/>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en-US" w:bidi="ar-SA"/>
        </w:rPr>
        <w:t>就乙方为</w:t>
      </w:r>
      <w:r>
        <w:rPr>
          <w:rFonts w:hint="eastAsia" w:ascii="宋体" w:hAnsi="宋体" w:eastAsia="宋体" w:cs="宋体"/>
          <w:color w:val="auto"/>
          <w:sz w:val="24"/>
          <w:szCs w:val="24"/>
          <w:highlight w:val="none"/>
          <w:u w:val="single"/>
          <w:lang w:val="en-US" w:eastAsia="en-US" w:bidi="ar-SA"/>
        </w:rPr>
        <w:tab/>
      </w:r>
      <w:r>
        <w:rPr>
          <w:rFonts w:hint="eastAsia" w:ascii="宋体" w:hAnsi="宋体" w:eastAsia="宋体" w:cs="宋体"/>
          <w:color w:val="auto"/>
          <w:sz w:val="24"/>
          <w:szCs w:val="24"/>
          <w:highlight w:val="none"/>
          <w:lang w:val="en-US" w:eastAsia="en-US" w:bidi="ar-SA"/>
        </w:rPr>
        <w:t>向甲方提供的货物和服务，经甲乙双方协商一致，签订本合同，共</w:t>
      </w:r>
      <w:r>
        <w:rPr>
          <w:rFonts w:hint="eastAsia" w:ascii="宋体" w:hAnsi="宋体" w:eastAsia="宋体" w:cs="宋体"/>
          <w:color w:val="auto"/>
          <w:sz w:val="24"/>
          <w:szCs w:val="24"/>
          <w:highlight w:val="none"/>
        </w:rPr>
        <w:t>同遵守如下条款：</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一、合同标的、数量及价款</w:t>
      </w:r>
    </w:p>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highlight w:val="none"/>
          <w:lang w:val="en-US" w:eastAsia="en-US" w:bidi="ar-SA"/>
        </w:rPr>
      </w:pPr>
      <w:r>
        <w:rPr>
          <w:rFonts w:hint="eastAsia" w:ascii="宋体" w:hAnsi="宋体" w:eastAsia="宋体" w:cs="宋体"/>
          <w:color w:val="auto"/>
          <w:sz w:val="24"/>
          <w:szCs w:val="24"/>
          <w:highlight w:val="none"/>
          <w:lang w:val="en-US" w:eastAsia="en-US" w:bidi="ar-SA"/>
        </w:rPr>
        <w:pict>
          <v:shape id="_x0000_s1084" o:spid="_x0000_s1084" o:spt="202" type="#_x0000_t202" style="position:absolute;left:0pt;margin-left:74.05pt;margin-top:90.65pt;height:128pt;width:441.75pt;mso-position-horizontal-relative:page;z-index:251659264;mso-width-relative:page;mso-height-relative:page;" filled="f" stroked="t" coordsize="21600,21600">
            <v:path/>
            <v:fill on="f" focussize="0,0"/>
            <v:stroke weight="0.25pt" color="#000000"/>
            <v:imagedata o:title=""/>
            <o:lock v:ext="edit" aspectratio="f"/>
            <v:textbox inset="0mm,0mm,0mm,0mm">
              <w:txbxContent>
                <w:tbl>
                  <w:tblPr>
                    <w:tblStyle w:val="17"/>
                    <w:tblW w:w="0" w:type="auto"/>
                    <w:tblInd w:w="0" w:type="dxa"/>
                    <w:tblLayout w:type="fixed"/>
                    <w:tblCellMar>
                      <w:top w:w="0" w:type="dxa"/>
                      <w:left w:w="0" w:type="dxa"/>
                      <w:bottom w:w="0" w:type="dxa"/>
                      <w:right w:w="0" w:type="dxa"/>
                    </w:tblCellMar>
                  </w:tblPr>
                  <w:tblGrid>
                    <w:gridCol w:w="1675"/>
                    <w:gridCol w:w="1925"/>
                    <w:gridCol w:w="720"/>
                    <w:gridCol w:w="711"/>
                    <w:gridCol w:w="1080"/>
                    <w:gridCol w:w="1259"/>
                    <w:gridCol w:w="1450"/>
                  </w:tblGrid>
                  <w:tr>
                    <w:trPr>
                      <w:trHeight w:val="666" w:hRule="exact"/>
                    </w:trPr>
                    <w:tc>
                      <w:tcPr>
                        <w:tcW w:w="1675"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left="412" w:right="0"/>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货物名称</w:t>
                        </w:r>
                      </w:p>
                    </w:tc>
                    <w:tc>
                      <w:tcPr>
                        <w:tcW w:w="1925"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right="3"/>
                          <w:jc w:val="center"/>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规格</w:t>
                        </w:r>
                      </w:p>
                    </w:tc>
                    <w:tc>
                      <w:tcPr>
                        <w:tcW w:w="720"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left="145" w:right="0"/>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单位</w:t>
                        </w:r>
                      </w:p>
                    </w:tc>
                    <w:tc>
                      <w:tcPr>
                        <w:tcW w:w="711"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left="141" w:right="0"/>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数量</w:t>
                        </w:r>
                      </w:p>
                    </w:tc>
                    <w:tc>
                      <w:tcPr>
                        <w:tcW w:w="1080"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left="102" w:right="-2"/>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单价（元）</w:t>
                        </w:r>
                      </w:p>
                    </w:tc>
                    <w:tc>
                      <w:tcPr>
                        <w:tcW w:w="1259"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left="102" w:right="0"/>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金额（元）</w:t>
                        </w:r>
                      </w:p>
                    </w:tc>
                    <w:tc>
                      <w:tcPr>
                        <w:tcW w:w="1450" w:type="dxa"/>
                        <w:tcBorders>
                          <w:top w:val="single" w:color="000000" w:sz="4" w:space="0"/>
                          <w:left w:val="single" w:color="000000" w:sz="4" w:space="0"/>
                          <w:bottom w:val="single" w:color="000000" w:sz="4" w:space="0"/>
                          <w:right w:val="single" w:color="000000" w:sz="4" w:space="0"/>
                        </w:tcBorders>
                      </w:tcPr>
                      <w:p>
                        <w:pPr>
                          <w:pStyle w:val="23"/>
                          <w:spacing w:before="65" w:line="240" w:lineRule="auto"/>
                          <w:ind w:right="0"/>
                          <w:jc w:val="center"/>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备注</w:t>
                        </w:r>
                      </w:p>
                    </w:tc>
                  </w:tr>
                  <w:tr>
                    <w:tblPrEx>
                      <w:tblCellMar>
                        <w:top w:w="0" w:type="dxa"/>
                        <w:left w:w="0" w:type="dxa"/>
                        <w:bottom w:w="0" w:type="dxa"/>
                        <w:right w:w="0" w:type="dxa"/>
                      </w:tblCellMar>
                    </w:tblPrEx>
                    <w:trPr>
                      <w:trHeight w:val="478" w:hRule="exact"/>
                    </w:trPr>
                    <w:tc>
                      <w:tcPr>
                        <w:tcW w:w="16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92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7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7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0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25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4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r>
                  <w:tr>
                    <w:tblPrEx>
                      <w:tblCellMar>
                        <w:top w:w="0" w:type="dxa"/>
                        <w:left w:w="0" w:type="dxa"/>
                        <w:bottom w:w="0" w:type="dxa"/>
                        <w:right w:w="0" w:type="dxa"/>
                      </w:tblCellMar>
                    </w:tblPrEx>
                    <w:trPr>
                      <w:trHeight w:val="478" w:hRule="exact"/>
                    </w:trPr>
                    <w:tc>
                      <w:tcPr>
                        <w:tcW w:w="16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92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7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7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0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25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c>
                      <w:tcPr>
                        <w:tcW w:w="14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81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en-US" w:bidi="ar-SA"/>
                          </w:rPr>
                        </w:pPr>
                      </w:p>
                    </w:tc>
                  </w:tr>
                  <w:tr>
                    <w:tblPrEx>
                      <w:tblCellMar>
                        <w:top w:w="0" w:type="dxa"/>
                        <w:left w:w="0" w:type="dxa"/>
                        <w:bottom w:w="0" w:type="dxa"/>
                        <w:right w:w="0" w:type="dxa"/>
                      </w:tblCellMar>
                    </w:tblPrEx>
                    <w:trPr>
                      <w:trHeight w:val="478" w:hRule="exact"/>
                    </w:trPr>
                    <w:tc>
                      <w:tcPr>
                        <w:tcW w:w="1675" w:type="dxa"/>
                        <w:tcBorders>
                          <w:top w:val="single" w:color="000000" w:sz="4" w:space="0"/>
                          <w:left w:val="single" w:color="000000" w:sz="4" w:space="0"/>
                          <w:bottom w:val="single" w:color="000000" w:sz="4" w:space="0"/>
                          <w:right w:val="single" w:color="000000" w:sz="4" w:space="0"/>
                        </w:tcBorders>
                      </w:tcPr>
                      <w:p>
                        <w:pPr>
                          <w:pStyle w:val="23"/>
                          <w:spacing w:before="63" w:line="240" w:lineRule="auto"/>
                          <w:ind w:left="201" w:right="0"/>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总额（大写）</w:t>
                        </w:r>
                      </w:p>
                    </w:tc>
                    <w:tc>
                      <w:tcPr>
                        <w:tcW w:w="7145" w:type="dxa"/>
                        <w:gridSpan w:val="6"/>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color w:val="auto"/>
                            <w:sz w:val="24"/>
                            <w:szCs w:val="24"/>
                            <w:lang w:val="en-US" w:eastAsia="en-US" w:bidi="ar-SA"/>
                          </w:rPr>
                        </w:pPr>
                      </w:p>
                    </w:tc>
                  </w:tr>
                  <w:tr>
                    <w:tblPrEx>
                      <w:tblCellMar>
                        <w:top w:w="0" w:type="dxa"/>
                        <w:left w:w="0" w:type="dxa"/>
                        <w:bottom w:w="0" w:type="dxa"/>
                        <w:right w:w="0" w:type="dxa"/>
                      </w:tblCellMar>
                    </w:tblPrEx>
                    <w:trPr>
                      <w:trHeight w:val="478" w:hRule="exact"/>
                    </w:trPr>
                    <w:tc>
                      <w:tcPr>
                        <w:tcW w:w="1675" w:type="dxa"/>
                        <w:tcBorders>
                          <w:top w:val="single" w:color="000000" w:sz="4" w:space="0"/>
                          <w:left w:val="single" w:color="000000" w:sz="4" w:space="0"/>
                          <w:bottom w:val="single" w:color="000000" w:sz="4" w:space="0"/>
                          <w:right w:val="single" w:color="000000" w:sz="4" w:space="0"/>
                        </w:tcBorders>
                      </w:tcPr>
                      <w:p>
                        <w:pPr>
                          <w:pStyle w:val="23"/>
                          <w:spacing w:before="63" w:line="240" w:lineRule="auto"/>
                          <w:ind w:left="201" w:right="0"/>
                          <w:jc w:val="left"/>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总额（小写）</w:t>
                        </w:r>
                      </w:p>
                    </w:tc>
                    <w:tc>
                      <w:tcPr>
                        <w:tcW w:w="7145" w:type="dxa"/>
                        <w:gridSpan w:val="6"/>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color w:val="auto"/>
                            <w:sz w:val="24"/>
                            <w:szCs w:val="24"/>
                            <w:lang w:val="en-US" w:eastAsia="en-US" w:bidi="ar-SA"/>
                          </w:rPr>
                        </w:pPr>
                      </w:p>
                    </w:tc>
                  </w:tr>
                  <w:tr>
                    <w:tblPrEx>
                      <w:tblCellMar>
                        <w:top w:w="0" w:type="dxa"/>
                        <w:left w:w="0" w:type="dxa"/>
                        <w:bottom w:w="0" w:type="dxa"/>
                        <w:right w:w="0" w:type="dxa"/>
                      </w:tblCellMar>
                    </w:tblPrEx>
                    <w:trPr>
                      <w:trHeight w:val="478" w:hRule="exact"/>
                    </w:trPr>
                    <w:tc>
                      <w:tcPr>
                        <w:tcW w:w="1675" w:type="dxa"/>
                        <w:tcBorders>
                          <w:top w:val="single" w:color="000000" w:sz="4" w:space="0"/>
                          <w:left w:val="single" w:color="000000" w:sz="4" w:space="0"/>
                          <w:bottom w:val="single" w:color="000000" w:sz="4" w:space="0"/>
                          <w:right w:val="single" w:color="000000" w:sz="4" w:space="0"/>
                        </w:tcBorders>
                      </w:tcPr>
                      <w:p>
                        <w:pPr>
                          <w:pStyle w:val="23"/>
                          <w:spacing w:before="63" w:line="240" w:lineRule="auto"/>
                          <w:ind w:left="201" w:right="0"/>
                          <w:jc w:val="left"/>
                          <w:rPr>
                            <w:rFonts w:hint="eastAsia" w:ascii="宋体" w:hAnsi="宋体" w:eastAsia="宋体" w:cs="宋体"/>
                            <w:color w:val="auto"/>
                            <w:sz w:val="24"/>
                            <w:szCs w:val="24"/>
                            <w:lang w:val="en-US" w:eastAsia="en-US" w:bidi="ar-SA"/>
                          </w:rPr>
                        </w:pPr>
                      </w:p>
                    </w:tc>
                    <w:tc>
                      <w:tcPr>
                        <w:tcW w:w="7145" w:type="dxa"/>
                        <w:gridSpan w:val="6"/>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color w:val="auto"/>
                            <w:sz w:val="24"/>
                            <w:szCs w:val="24"/>
                            <w:lang w:val="en-US" w:eastAsia="en-US" w:bidi="ar-SA"/>
                          </w:rPr>
                        </w:pPr>
                      </w:p>
                    </w:tc>
                  </w:tr>
                </w:tbl>
                <w:p/>
              </w:txbxContent>
            </v:textbox>
          </v:shape>
        </w:pict>
      </w:r>
      <w:r>
        <w:rPr>
          <w:rFonts w:hint="eastAsia" w:ascii="宋体" w:hAnsi="宋体" w:eastAsia="宋体" w:cs="宋体"/>
          <w:color w:val="auto"/>
          <w:sz w:val="24"/>
          <w:szCs w:val="24"/>
          <w:highlight w:val="none"/>
          <w:lang w:val="en-US" w:eastAsia="en-US" w:bidi="ar-SA"/>
        </w:rPr>
        <w:t>乙方保证在合同工期内提供一套完整、安全、可操作、可维护的（详见设备清单） 及其成套设备，包括设计、方案配置、设备制造、附件、运至合同指定地点的运输、装卸、保管、保险、税费、培训的技术服务（包括技术资料、图纸的提供）、安装技术指导、检验、质保期保障等服务的全部费用及由此产生的相关费用。</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sz w:val="24"/>
          <w:szCs w:val="24"/>
          <w:highlight w:val="none"/>
        </w:rPr>
      </w:pP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二、付款方式</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付款方式：</w:t>
      </w:r>
      <w:r>
        <w:rPr>
          <w:rFonts w:hint="eastAsia" w:ascii="宋体" w:hAnsi="宋体" w:eastAsia="宋体" w:cs="宋体"/>
          <w:sz w:val="24"/>
          <w:szCs w:val="24"/>
          <w:highlight w:val="none"/>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三、货物质量及标准</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 xml:space="preserve">3.1 </w:t>
      </w:r>
      <w:r>
        <w:rPr>
          <w:rFonts w:hint="eastAsia" w:ascii="宋体" w:hAnsi="宋体" w:eastAsia="宋体" w:cs="宋体"/>
          <w:sz w:val="24"/>
          <w:szCs w:val="24"/>
          <w:highlight w:val="none"/>
        </w:rPr>
        <w:t>货物为全新的、从未使用过的产品，并完全符合合同约定的质量、规格和性能的要求。乙方应保证其货物在正确安装，正常使用和保养的条件下，在其使用寿命期内运转良好、具有满意的性能。在货物质量保证期内，乙方应对由于设计、工艺或材料的缺陷而产生的故障或事故和造成的全部损失，如出现上述情况，乙方应在收到</w:t>
      </w:r>
      <w:r>
        <w:rPr>
          <w:rFonts w:hint="eastAsia" w:ascii="宋体" w:hAnsi="宋体" w:eastAsia="宋体" w:cs="宋体"/>
          <w:spacing w:val="2"/>
          <w:sz w:val="24"/>
          <w:szCs w:val="24"/>
          <w:highlight w:val="none"/>
        </w:rPr>
        <w:t>甲方书面通知后在交通允许的情况下</w:t>
      </w:r>
      <w:r>
        <w:rPr>
          <w:rFonts w:hint="eastAsia" w:ascii="宋体" w:hAnsi="宋体" w:eastAsia="宋体" w:cs="宋体"/>
          <w:spacing w:val="-58"/>
          <w:sz w:val="24"/>
          <w:szCs w:val="24"/>
          <w:highlight w:val="none"/>
          <w:u w:val="single"/>
          <w:lang w:val="en-US" w:eastAsia="zh-CN"/>
        </w:rPr>
        <w:t xml:space="preserve">       </w:t>
      </w:r>
      <w:r>
        <w:rPr>
          <w:rFonts w:hint="eastAsia" w:ascii="宋体" w:hAnsi="宋体" w:eastAsia="宋体" w:cs="宋体"/>
          <w:spacing w:val="2"/>
          <w:sz w:val="24"/>
          <w:szCs w:val="24"/>
          <w:highlight w:val="none"/>
        </w:rPr>
        <w:t>小时内到场，并负责免费修复或更换有缺陷的</w:t>
      </w:r>
      <w:r>
        <w:rPr>
          <w:rFonts w:hint="eastAsia" w:ascii="宋体" w:hAnsi="宋体" w:eastAsia="宋体" w:cs="宋体"/>
          <w:sz w:val="24"/>
          <w:szCs w:val="24"/>
          <w:highlight w:val="none"/>
        </w:rPr>
        <w:t>零部件。</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w:t>
      </w:r>
      <w:r>
        <w:rPr>
          <w:rFonts w:hint="eastAsia" w:ascii="宋体" w:hAnsi="宋体" w:eastAsia="宋体" w:cs="宋体"/>
          <w:spacing w:val="-58"/>
          <w:sz w:val="24"/>
          <w:szCs w:val="24"/>
          <w:highlight w:val="none"/>
        </w:rPr>
        <w:t xml:space="preserve"> </w:t>
      </w:r>
      <w:r>
        <w:rPr>
          <w:rFonts w:hint="eastAsia" w:ascii="宋体" w:hAnsi="宋体" w:eastAsia="宋体" w:cs="宋体"/>
          <w:sz w:val="24"/>
          <w:szCs w:val="24"/>
          <w:highlight w:val="none"/>
        </w:rPr>
        <w:t>质量标准</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3.2.1</w:t>
      </w:r>
      <w:r>
        <w:rPr>
          <w:rFonts w:hint="eastAsia" w:ascii="宋体" w:hAnsi="宋体" w:eastAsia="宋体" w:cs="宋体"/>
          <w:spacing w:val="-71"/>
          <w:sz w:val="24"/>
          <w:szCs w:val="24"/>
          <w:highlight w:val="none"/>
        </w:rPr>
        <w:t xml:space="preserve"> </w:t>
      </w:r>
      <w:r>
        <w:rPr>
          <w:rFonts w:hint="eastAsia" w:ascii="宋体" w:hAnsi="宋体" w:eastAsia="宋体" w:cs="宋体"/>
          <w:sz w:val="24"/>
          <w:szCs w:val="24"/>
          <w:highlight w:val="none"/>
        </w:rPr>
        <w:t>乙方提供的产品必须符合合同约定并提供相应的产品质量说明书。</w:t>
      </w:r>
    </w:p>
    <w:p>
      <w:pPr>
        <w:keepNext w:val="0"/>
        <w:keepLines w:val="0"/>
        <w:pageBreakBefore w:val="0"/>
        <w:widowControl w:val="0"/>
        <w:tabs>
          <w:tab w:val="left" w:pos="5547"/>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3.2.2</w:t>
      </w:r>
      <w:r>
        <w:rPr>
          <w:rFonts w:hint="eastAsia" w:ascii="宋体" w:hAnsi="宋体" w:eastAsia="宋体" w:cs="宋体"/>
          <w:spacing w:val="-63"/>
          <w:sz w:val="24"/>
          <w:szCs w:val="24"/>
          <w:highlight w:val="none"/>
        </w:rPr>
        <w:t xml:space="preserve"> </w:t>
      </w:r>
      <w:r>
        <w:rPr>
          <w:rFonts w:hint="eastAsia" w:ascii="宋体" w:hAnsi="宋体" w:eastAsia="宋体" w:cs="宋体"/>
          <w:sz w:val="24"/>
          <w:szCs w:val="24"/>
          <w:highlight w:val="none"/>
        </w:rPr>
        <w:t>本合同所指的货物及服务应符合</w:t>
      </w:r>
      <w:r>
        <w:rPr>
          <w:rFonts w:hint="eastAsia" w:ascii="宋体" w:hAnsi="宋体" w:eastAsia="宋体" w:cs="宋体"/>
          <w:sz w:val="24"/>
          <w:szCs w:val="24"/>
          <w:highlight w:val="none"/>
          <w:u w:val="single" w:color="000000"/>
        </w:rPr>
        <w:tab/>
      </w:r>
      <w:r>
        <w:rPr>
          <w:rFonts w:hint="eastAsia" w:ascii="宋体" w:hAnsi="宋体" w:eastAsia="宋体" w:cs="宋体"/>
          <w:sz w:val="24"/>
          <w:szCs w:val="24"/>
          <w:highlight w:val="none"/>
        </w:rPr>
        <w:t>项目技术标准和要求所述的技术标准和要求，该标准或要求应等于或高于国家标准或行业标准；若在设计和制造中应用的某项标准或规范没有规定，则应符合中华人民共和国国家标准或行业标准，这些标准必须是有关机构发布的最新版本的标准。</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3.2.3</w:t>
      </w:r>
      <w:r>
        <w:rPr>
          <w:rFonts w:hint="eastAsia" w:ascii="宋体" w:hAnsi="宋体" w:eastAsia="宋体" w:cs="宋体"/>
          <w:spacing w:val="95"/>
          <w:w w:val="95"/>
          <w:sz w:val="24"/>
          <w:szCs w:val="24"/>
          <w:highlight w:val="none"/>
        </w:rPr>
        <w:t xml:space="preserve"> </w:t>
      </w:r>
      <w:r>
        <w:rPr>
          <w:rFonts w:hint="eastAsia" w:ascii="宋体" w:hAnsi="宋体" w:eastAsia="宋体" w:cs="宋体"/>
          <w:sz w:val="24"/>
          <w:szCs w:val="24"/>
          <w:highlight w:val="none"/>
        </w:rPr>
        <w:t>乙方应详细说明其采用的标准和规范。只有当其采用标准和规范是国际公认的、惯用的；且等于或优于本技术规格书的要求时，此标准或规范才可能被接受。</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四、交货 </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交货地点：甲方指定地点。 </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交货时间：</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交货方式：乙方在按照本合同约定的时间将货物运至甲方指定的交货地点并自行卸货、安装交付使用。</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五、货物包装、运输及交付</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5.1</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lang w:val="en-US" w:eastAsia="en-US" w:bidi="ar-SA"/>
        </w:rPr>
        <w:t>包装必须与运输方式相适应，保证货物的安全，包装方式的确定及包装费用均由乙方负责；由于不适</w:t>
      </w:r>
      <w:r>
        <w:rPr>
          <w:rFonts w:hint="eastAsia" w:ascii="宋体" w:hAnsi="宋体" w:eastAsia="宋体" w:cs="宋体"/>
          <w:sz w:val="24"/>
          <w:szCs w:val="24"/>
          <w:highlight w:val="none"/>
        </w:rPr>
        <w:t>当的包装造成货物在运输过程中有任何损坏由乙方负责。</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5.2</w:t>
      </w:r>
      <w:r>
        <w:rPr>
          <w:rFonts w:hint="eastAsia" w:ascii="宋体" w:hAnsi="宋体" w:eastAsia="宋体" w:cs="宋体"/>
          <w:spacing w:val="96"/>
          <w:w w:val="95"/>
          <w:sz w:val="24"/>
          <w:szCs w:val="24"/>
          <w:highlight w:val="none"/>
        </w:rPr>
        <w:t xml:space="preserve"> </w:t>
      </w:r>
      <w:r>
        <w:rPr>
          <w:rFonts w:hint="eastAsia" w:ascii="宋体" w:hAnsi="宋体" w:eastAsia="宋体" w:cs="宋体"/>
          <w:sz w:val="24"/>
          <w:szCs w:val="24"/>
          <w:highlight w:val="none"/>
        </w:rPr>
        <w:t>包装应足以承受整个过程中的运输、转运、装卸、储存等，充分考虑到运输中的各种情况（如暴露于恶劣气候等）和郑州地区的气候特点，以及露天存放的问题。</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5.3</w:t>
      </w:r>
      <w:r>
        <w:rPr>
          <w:rFonts w:hint="eastAsia" w:ascii="宋体" w:hAnsi="宋体" w:eastAsia="宋体" w:cs="宋体"/>
          <w:spacing w:val="-70"/>
          <w:sz w:val="24"/>
          <w:szCs w:val="24"/>
          <w:highlight w:val="none"/>
        </w:rPr>
        <w:t xml:space="preserve"> </w:t>
      </w:r>
      <w:r>
        <w:rPr>
          <w:rFonts w:hint="eastAsia" w:ascii="宋体" w:hAnsi="宋体" w:eastAsia="宋体" w:cs="宋体"/>
          <w:sz w:val="24"/>
          <w:szCs w:val="24"/>
          <w:highlight w:val="none"/>
        </w:rPr>
        <w:t>专用工具及备品备件应分别包装，并在包装箱外加以注明用途。</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5.4</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rPr>
        <w:t>货物到达交货地点之前的所有保险费用和派往甲方进行服务的人员投保人身险和其他有关险种，由乙方负责并承担费用。</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 技术文件</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5.5.1 乙方应在供货同时向甲方提供能够正确进行安装、操作、检查、维修、维护、测试、调试、验收 和运作需要的所有文件，如甲方按乙方提供的技术文件进行操作造成设备损坏，乙方应当无条件更换并赔 偿给甲方造成的损失。</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5.5.2 所有未列明交付时间的乙方应提供的投标文件承诺的物品，同时必须单独包装并伴随货物同时交 付给甲方，否则甲方有权拒绝支付货款。</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5.5.3 如发现乙方未提供或未按约定提供有关技术文件及专用工具和备品备件，甲方有权拒绝付款，直至乙方补齐有关文件或专用工具和备品备件，且由此造成的工期延误的责任由乙方承担。</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5.6</w:t>
      </w:r>
      <w:r>
        <w:rPr>
          <w:rFonts w:hint="eastAsia" w:ascii="宋体" w:hAnsi="宋体" w:eastAsia="宋体" w:cs="宋体"/>
          <w:spacing w:val="-58"/>
          <w:sz w:val="24"/>
          <w:szCs w:val="24"/>
          <w:highlight w:val="none"/>
        </w:rPr>
        <w:t xml:space="preserve"> </w:t>
      </w:r>
      <w:r>
        <w:rPr>
          <w:rFonts w:hint="eastAsia" w:ascii="宋体" w:hAnsi="宋体" w:eastAsia="宋体" w:cs="宋体"/>
          <w:sz w:val="24"/>
          <w:szCs w:val="24"/>
          <w:highlight w:val="none"/>
        </w:rPr>
        <w:t>知识产权</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5.6.1</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rPr>
        <w:t>乙方应保证，甲方在中华人民共和国使用该货物或货物的任何一部分时，免受第三方提出的侵犯 其专利权、商标权或其他知识产权的起诉或其他形式的权利主张。如果发生此类纠纷，由乙方承担一切责任并赔偿给甲方造成的损失。</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5.6.2</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rPr>
        <w:t>乙方为执行本合同而提供的技术资料、软件的使用权归甲方所有，但只能用于本合同目的，不得以任何理由将相关资料提供给第三方。</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六、验收及售后服务</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w:t>
      </w:r>
      <w:r>
        <w:rPr>
          <w:rFonts w:hint="eastAsia" w:ascii="宋体" w:hAnsi="宋体" w:eastAsia="宋体" w:cs="宋体"/>
          <w:spacing w:val="-59"/>
          <w:sz w:val="24"/>
          <w:szCs w:val="24"/>
          <w:highlight w:val="none"/>
        </w:rPr>
        <w:t xml:space="preserve"> </w:t>
      </w:r>
      <w:r>
        <w:rPr>
          <w:rFonts w:hint="eastAsia" w:ascii="宋体" w:hAnsi="宋体" w:eastAsia="宋体" w:cs="宋体"/>
          <w:spacing w:val="3"/>
          <w:sz w:val="24"/>
          <w:szCs w:val="24"/>
          <w:highlight w:val="none"/>
        </w:rPr>
        <w:t>货到交货地点后，甲方的验收合格并不能免除乙方在设备安装验收及质量保证期内的质量保证责</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任，更不能免除乙方货物内在缺陷的违约责任。</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w:t>
      </w:r>
      <w:r>
        <w:rPr>
          <w:rFonts w:hint="eastAsia" w:ascii="宋体" w:hAnsi="宋体" w:eastAsia="宋体" w:cs="宋体"/>
          <w:spacing w:val="-56"/>
          <w:sz w:val="24"/>
          <w:szCs w:val="24"/>
          <w:highlight w:val="none"/>
        </w:rPr>
        <w:t xml:space="preserve"> </w:t>
      </w:r>
      <w:r>
        <w:rPr>
          <w:rFonts w:hint="eastAsia" w:ascii="宋体" w:hAnsi="宋体" w:eastAsia="宋体" w:cs="宋体"/>
          <w:sz w:val="24"/>
          <w:szCs w:val="24"/>
          <w:highlight w:val="none"/>
        </w:rPr>
        <w:t>质保期</w:t>
      </w:r>
    </w:p>
    <w:p>
      <w:pPr>
        <w:keepNext w:val="0"/>
        <w:keepLines w:val="0"/>
        <w:pageBreakBefore w:val="0"/>
        <w:widowControl w:val="0"/>
        <w:tabs>
          <w:tab w:val="left" w:pos="2815"/>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6.2.1</w:t>
      </w:r>
      <w:r>
        <w:rPr>
          <w:rFonts w:hint="eastAsia" w:ascii="宋体" w:hAnsi="宋体" w:eastAsia="宋体" w:cs="宋体"/>
          <w:spacing w:val="-59"/>
          <w:sz w:val="24"/>
          <w:szCs w:val="24"/>
          <w:highlight w:val="none"/>
        </w:rPr>
        <w:t xml:space="preserve"> </w:t>
      </w:r>
      <w:r>
        <w:rPr>
          <w:rFonts w:hint="eastAsia" w:ascii="宋体" w:hAnsi="宋体" w:eastAsia="宋体" w:cs="宋体"/>
          <w:sz w:val="24"/>
          <w:szCs w:val="24"/>
          <w:highlight w:val="none"/>
        </w:rPr>
        <w:t>质量保证期：</w:t>
      </w:r>
      <w:r>
        <w:rPr>
          <w:rFonts w:hint="eastAsia" w:ascii="宋体" w:hAnsi="宋体" w:eastAsia="宋体" w:cs="宋体"/>
          <w:sz w:val="24"/>
          <w:szCs w:val="24"/>
          <w:highlight w:val="none"/>
          <w:u w:val="single" w:color="000000"/>
        </w:rPr>
        <w:tab/>
      </w:r>
      <w:r>
        <w:rPr>
          <w:rFonts w:hint="eastAsia" w:ascii="宋体" w:hAnsi="宋体" w:eastAsia="宋体" w:cs="宋体"/>
          <w:sz w:val="24"/>
          <w:szCs w:val="24"/>
          <w:highlight w:val="none"/>
        </w:rPr>
        <w:t>年，质保期内乙方负责“三包”。</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lang w:val="en-US" w:eastAsia="en-US" w:bidi="ar-SA"/>
        </w:rPr>
      </w:pPr>
      <w:r>
        <w:rPr>
          <w:rFonts w:hint="eastAsia" w:ascii="宋体" w:hAnsi="宋体" w:eastAsia="宋体" w:cs="宋体"/>
          <w:w w:val="95"/>
          <w:sz w:val="24"/>
          <w:szCs w:val="24"/>
          <w:highlight w:val="none"/>
        </w:rPr>
        <w:t>6.2.2</w:t>
      </w:r>
      <w:r>
        <w:rPr>
          <w:rFonts w:hint="eastAsia" w:ascii="宋体" w:hAnsi="宋体" w:eastAsia="宋体" w:cs="宋体"/>
          <w:spacing w:val="95"/>
          <w:w w:val="95"/>
          <w:sz w:val="24"/>
          <w:szCs w:val="24"/>
          <w:highlight w:val="none"/>
        </w:rPr>
        <w:t xml:space="preserve"> </w:t>
      </w:r>
      <w:r>
        <w:rPr>
          <w:rFonts w:hint="eastAsia" w:ascii="宋体" w:hAnsi="宋体" w:eastAsia="宋体" w:cs="宋体"/>
          <w:sz w:val="24"/>
          <w:szCs w:val="24"/>
          <w:highlight w:val="none"/>
          <w:lang w:val="en-US" w:eastAsia="en-US" w:bidi="ar-SA"/>
        </w:rPr>
        <w:t>乙方所供应货品在质保期前三个月内，产品若出现非人为的质量问题，乙方负责免费整件更换新产品。</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6.2.3</w:t>
      </w:r>
      <w:r>
        <w:rPr>
          <w:rFonts w:hint="eastAsia" w:ascii="宋体" w:hAnsi="宋体" w:eastAsia="宋体" w:cs="宋体"/>
          <w:spacing w:val="-75"/>
          <w:sz w:val="24"/>
          <w:szCs w:val="24"/>
          <w:highlight w:val="none"/>
        </w:rPr>
        <w:t xml:space="preserve"> </w:t>
      </w:r>
      <w:r>
        <w:rPr>
          <w:rFonts w:hint="eastAsia" w:ascii="宋体" w:hAnsi="宋体" w:eastAsia="宋体" w:cs="宋体"/>
          <w:sz w:val="24"/>
          <w:szCs w:val="24"/>
          <w:highlight w:val="none"/>
        </w:rPr>
        <w:t>产品质保期间出现非人为故障，乙方负责提供免费的上门维修、零部件更换等服务。</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6.2.4</w:t>
      </w:r>
      <w:r>
        <w:rPr>
          <w:rFonts w:hint="eastAsia" w:ascii="宋体" w:hAnsi="宋体" w:eastAsia="宋体" w:cs="宋体"/>
          <w:spacing w:val="-78"/>
          <w:sz w:val="24"/>
          <w:szCs w:val="24"/>
          <w:highlight w:val="none"/>
        </w:rPr>
        <w:t xml:space="preserve"> </w:t>
      </w:r>
      <w:r>
        <w:rPr>
          <w:rFonts w:hint="eastAsia" w:ascii="宋体" w:hAnsi="宋体" w:eastAsia="宋体" w:cs="宋体"/>
          <w:sz w:val="24"/>
          <w:szCs w:val="24"/>
          <w:highlight w:val="none"/>
        </w:rPr>
        <w:t>质保期内，乙方借故推脱或无理由拒绝甲方提出的维修、更换服务请求，甲方可以自行解决，并对维修或更换服务以实际发生的费用或按市场价从质保金内扣除，若质保金不足以补偿甲方所遭受的损失， 甲方有权要求乙方另行支付不足部分。</w:t>
      </w:r>
    </w:p>
    <w:p>
      <w:pPr>
        <w:keepNext w:val="0"/>
        <w:keepLines w:val="0"/>
        <w:pageBreakBefore w:val="0"/>
        <w:widowControl w:val="0"/>
        <w:tabs>
          <w:tab w:val="left" w:pos="768"/>
          <w:tab w:val="left" w:pos="6063"/>
          <w:tab w:val="left" w:pos="8527"/>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6.2.5</w:t>
      </w:r>
      <w:r>
        <w:rPr>
          <w:rFonts w:hint="eastAsia" w:ascii="宋体" w:hAnsi="宋体" w:eastAsia="宋体" w:cs="宋体"/>
          <w:spacing w:val="-57"/>
          <w:sz w:val="24"/>
          <w:szCs w:val="24"/>
          <w:highlight w:val="none"/>
        </w:rPr>
        <w:t xml:space="preserve"> </w:t>
      </w:r>
      <w:r>
        <w:rPr>
          <w:rFonts w:hint="eastAsia" w:ascii="宋体" w:hAnsi="宋体" w:eastAsia="宋体" w:cs="宋体"/>
          <w:spacing w:val="-4"/>
          <w:sz w:val="24"/>
          <w:szCs w:val="24"/>
          <w:highlight w:val="none"/>
        </w:rPr>
        <w:t>在质保期内，乙方接到报修电话后</w:t>
      </w:r>
      <w:r>
        <w:rPr>
          <w:rFonts w:hint="eastAsia" w:ascii="宋体" w:hAnsi="宋体" w:eastAsia="宋体" w:cs="宋体"/>
          <w:spacing w:val="-56"/>
          <w:sz w:val="24"/>
          <w:szCs w:val="24"/>
          <w:highlight w:val="none"/>
        </w:rPr>
        <w:t xml:space="preserve"> </w:t>
      </w:r>
      <w:r>
        <w:rPr>
          <w:rFonts w:hint="eastAsia" w:ascii="宋体" w:hAnsi="宋体" w:eastAsia="宋体" w:cs="宋体"/>
          <w:sz w:val="24"/>
          <w:szCs w:val="24"/>
          <w:highlight w:val="none"/>
        </w:rPr>
        <w:t>1</w:t>
      </w:r>
      <w:r>
        <w:rPr>
          <w:rFonts w:hint="eastAsia" w:ascii="宋体" w:hAnsi="宋体" w:eastAsia="宋体" w:cs="宋体"/>
          <w:spacing w:val="-55"/>
          <w:sz w:val="24"/>
          <w:szCs w:val="24"/>
          <w:highlight w:val="none"/>
        </w:rPr>
        <w:t xml:space="preserve"> </w:t>
      </w:r>
      <w:r>
        <w:rPr>
          <w:rFonts w:hint="eastAsia" w:ascii="宋体" w:hAnsi="宋体" w:eastAsia="宋体" w:cs="宋体"/>
          <w:sz w:val="24"/>
          <w:szCs w:val="24"/>
          <w:highlight w:val="none"/>
        </w:rPr>
        <w:t>小时内响应</w:t>
      </w:r>
      <w:r>
        <w:rPr>
          <w:rFonts w:hint="eastAsia" w:ascii="宋体" w:hAnsi="宋体" w:eastAsia="宋体" w:cs="宋体"/>
          <w:sz w:val="24"/>
          <w:szCs w:val="24"/>
          <w:highlight w:val="none"/>
          <w:u w:val="single" w:color="000000"/>
        </w:rPr>
        <w:t>，</w:t>
      </w:r>
      <w:r>
        <w:rPr>
          <w:rFonts w:hint="eastAsia" w:ascii="宋体" w:hAnsi="宋体" w:eastAsia="宋体" w:cs="宋体"/>
          <w:sz w:val="24"/>
          <w:szCs w:val="24"/>
          <w:highlight w:val="none"/>
          <w:u w:val="single" w:color="000000"/>
        </w:rPr>
        <w:tab/>
      </w:r>
      <w:r>
        <w:rPr>
          <w:rFonts w:hint="eastAsia" w:ascii="宋体" w:hAnsi="宋体" w:eastAsia="宋体" w:cs="宋体"/>
          <w:spacing w:val="2"/>
          <w:sz w:val="24"/>
          <w:szCs w:val="24"/>
          <w:highlight w:val="none"/>
        </w:rPr>
        <w:t>小时内到达现场，并在</w:t>
      </w:r>
      <w:r>
        <w:rPr>
          <w:rFonts w:hint="eastAsia" w:ascii="宋体" w:hAnsi="宋体" w:eastAsia="宋体" w:cs="宋体"/>
          <w:spacing w:val="2"/>
          <w:sz w:val="24"/>
          <w:szCs w:val="24"/>
          <w:highlight w:val="none"/>
          <w:u w:val="single"/>
          <w:lang w:val="en-US" w:eastAsia="zh-CN"/>
        </w:rPr>
        <w:t xml:space="preserve">         </w:t>
      </w:r>
      <w:r>
        <w:rPr>
          <w:rFonts w:hint="eastAsia" w:ascii="宋体" w:hAnsi="宋体" w:eastAsia="宋体" w:cs="宋体"/>
          <w:sz w:val="24"/>
          <w:szCs w:val="24"/>
          <w:highlight w:val="none"/>
        </w:rPr>
        <w:t>小时内维修好。</w:t>
      </w:r>
      <w:r>
        <w:rPr>
          <w:rFonts w:hint="eastAsia" w:ascii="宋体" w:hAnsi="宋体" w:eastAsia="宋体" w:cs="宋体"/>
          <w:w w:val="99"/>
          <w:sz w:val="24"/>
          <w:szCs w:val="24"/>
          <w:highlight w:val="none"/>
        </w:rPr>
        <w:t xml:space="preserve"> </w:t>
      </w:r>
      <w:r>
        <w:rPr>
          <w:rFonts w:hint="eastAsia" w:ascii="宋体" w:hAnsi="宋体" w:eastAsia="宋体" w:cs="宋体"/>
          <w:spacing w:val="-1"/>
          <w:w w:val="95"/>
          <w:sz w:val="24"/>
          <w:szCs w:val="24"/>
          <w:highlight w:val="none"/>
        </w:rPr>
        <w:t>若</w:t>
      </w:r>
      <w:r>
        <w:rPr>
          <w:rFonts w:hint="eastAsia" w:ascii="宋体" w:hAnsi="宋体" w:eastAsia="宋体" w:cs="宋体"/>
          <w:spacing w:val="-1"/>
          <w:w w:val="95"/>
          <w:sz w:val="24"/>
          <w:szCs w:val="24"/>
          <w:highlight w:val="none"/>
          <w:u w:val="single"/>
          <w:lang w:val="en-US" w:eastAsia="zh-CN"/>
        </w:rPr>
        <w:t xml:space="preserve">       </w:t>
      </w:r>
      <w:r>
        <w:rPr>
          <w:rFonts w:hint="eastAsia" w:ascii="宋体" w:hAnsi="宋体" w:eastAsia="宋体" w:cs="宋体"/>
          <w:spacing w:val="2"/>
          <w:sz w:val="24"/>
          <w:szCs w:val="24"/>
          <w:highlight w:val="none"/>
        </w:rPr>
        <w:t>小时内无法维修好，乙方必须全免费提供不低于故障产品规格型号档次的备用产品，直至故障修复。 产品故障属质量问题乙方免费负责维修或更换零部件。因甲方人为损坏或操作不当导致的设备故障，乙方</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负责修复，相应的配件费用由甲方承担。</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6.3</w:t>
      </w:r>
      <w:r>
        <w:rPr>
          <w:rFonts w:hint="eastAsia" w:ascii="宋体" w:hAnsi="宋体" w:eastAsia="宋体" w:cs="宋体"/>
          <w:spacing w:val="-55"/>
          <w:sz w:val="24"/>
          <w:szCs w:val="24"/>
          <w:highlight w:val="none"/>
        </w:rPr>
        <w:t xml:space="preserve"> </w:t>
      </w:r>
      <w:r>
        <w:rPr>
          <w:rFonts w:hint="eastAsia" w:ascii="宋体" w:hAnsi="宋体" w:eastAsia="宋体" w:cs="宋体"/>
          <w:spacing w:val="-2"/>
          <w:sz w:val="24"/>
          <w:szCs w:val="24"/>
          <w:highlight w:val="none"/>
        </w:rPr>
        <w:t>乙方应当在质量保证期内提供免费保修和维修服务，如因乙方原因设备出现故障，乙方应当在甲方</w:t>
      </w:r>
      <w:r>
        <w:rPr>
          <w:rFonts w:hint="eastAsia" w:ascii="宋体" w:hAnsi="宋体" w:eastAsia="宋体" w:cs="宋体"/>
          <w:sz w:val="24"/>
          <w:szCs w:val="24"/>
          <w:highlight w:val="none"/>
        </w:rPr>
        <w:t>通知后交通允许的情况下</w:t>
      </w:r>
      <w:r>
        <w:rPr>
          <w:rFonts w:hint="eastAsia" w:ascii="宋体" w:hAnsi="宋体" w:eastAsia="宋体" w:cs="宋体"/>
          <w:spacing w:val="-60"/>
          <w:sz w:val="24"/>
          <w:szCs w:val="24"/>
          <w:highlight w:val="none"/>
          <w:u w:val="single"/>
          <w:lang w:val="en-US" w:eastAsia="zh-CN"/>
        </w:rPr>
        <w:t xml:space="preserve">        </w:t>
      </w:r>
      <w:r>
        <w:rPr>
          <w:rFonts w:hint="eastAsia" w:ascii="宋体" w:hAnsi="宋体" w:eastAsia="宋体" w:cs="宋体"/>
          <w:sz w:val="24"/>
          <w:szCs w:val="24"/>
          <w:highlight w:val="none"/>
        </w:rPr>
        <w:t>小时内到达现场维修。</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6.4</w:t>
      </w:r>
      <w:r>
        <w:rPr>
          <w:rFonts w:hint="eastAsia" w:ascii="宋体" w:hAnsi="宋体" w:eastAsia="宋体" w:cs="宋体"/>
          <w:spacing w:val="95"/>
          <w:w w:val="95"/>
          <w:sz w:val="24"/>
          <w:szCs w:val="24"/>
          <w:highlight w:val="none"/>
        </w:rPr>
        <w:t xml:space="preserve"> </w:t>
      </w:r>
      <w:r>
        <w:rPr>
          <w:rFonts w:hint="eastAsia" w:ascii="宋体" w:hAnsi="宋体" w:eastAsia="宋体" w:cs="宋体"/>
          <w:sz w:val="24"/>
          <w:szCs w:val="24"/>
          <w:highlight w:val="none"/>
        </w:rPr>
        <w:t>质保期满后，若设备出现故障，经当地或行业权威部门鉴定属于寿命异常问题（明显短于该设备部件正常寿命）时，则由乙方负责免费提供零部件更换或维修，且该零件的质量保修期重新计算。</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6.5</w:t>
      </w:r>
      <w:r>
        <w:rPr>
          <w:rFonts w:hint="eastAsia" w:ascii="宋体" w:hAnsi="宋体" w:eastAsia="宋体" w:cs="宋体"/>
          <w:spacing w:val="95"/>
          <w:w w:val="95"/>
          <w:sz w:val="24"/>
          <w:szCs w:val="24"/>
          <w:highlight w:val="none"/>
        </w:rPr>
        <w:t xml:space="preserve"> </w:t>
      </w:r>
      <w:r>
        <w:rPr>
          <w:rFonts w:hint="eastAsia" w:ascii="宋体" w:hAnsi="宋体" w:eastAsia="宋体" w:cs="宋体"/>
          <w:sz w:val="24"/>
          <w:szCs w:val="24"/>
          <w:highlight w:val="none"/>
        </w:rPr>
        <w:t>质保期满后，应甲方要求，乙方应按合同附件确定的价格向甲方提供必需的零配件及服务。乙方对所有产品实行终身维护。</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6.6</w:t>
      </w:r>
      <w:r>
        <w:rPr>
          <w:rFonts w:hint="eastAsia" w:ascii="宋体" w:hAnsi="宋体" w:eastAsia="宋体" w:cs="宋体"/>
          <w:spacing w:val="-57"/>
          <w:sz w:val="24"/>
          <w:szCs w:val="24"/>
          <w:highlight w:val="none"/>
        </w:rPr>
        <w:t xml:space="preserve"> </w:t>
      </w:r>
      <w:r>
        <w:rPr>
          <w:rFonts w:hint="eastAsia" w:ascii="宋体" w:hAnsi="宋体" w:eastAsia="宋体" w:cs="宋体"/>
          <w:sz w:val="24"/>
          <w:szCs w:val="24"/>
          <w:highlight w:val="none"/>
        </w:rPr>
        <w:t>乙方</w:t>
      </w:r>
      <w:r>
        <w:rPr>
          <w:rFonts w:hint="eastAsia" w:ascii="宋体" w:hAnsi="宋体" w:eastAsia="宋体" w:cs="宋体"/>
          <w:spacing w:val="-53"/>
          <w:sz w:val="24"/>
          <w:szCs w:val="24"/>
          <w:highlight w:val="none"/>
        </w:rPr>
        <w:t xml:space="preserve"> </w:t>
      </w:r>
      <w:r>
        <w:rPr>
          <w:rFonts w:hint="eastAsia" w:ascii="宋体" w:hAnsi="宋体" w:eastAsia="宋体" w:cs="宋体"/>
          <w:sz w:val="24"/>
          <w:szCs w:val="24"/>
          <w:highlight w:val="none"/>
        </w:rPr>
        <w:t>24</w:t>
      </w:r>
      <w:r>
        <w:rPr>
          <w:rFonts w:hint="eastAsia" w:ascii="宋体" w:hAnsi="宋体" w:eastAsia="宋体" w:cs="宋体"/>
          <w:spacing w:val="-57"/>
          <w:sz w:val="24"/>
          <w:szCs w:val="24"/>
          <w:highlight w:val="none"/>
        </w:rPr>
        <w:t xml:space="preserve"> </w:t>
      </w:r>
      <w:r>
        <w:rPr>
          <w:rFonts w:hint="eastAsia" w:ascii="宋体" w:hAnsi="宋体" w:eastAsia="宋体" w:cs="宋体"/>
          <w:sz w:val="24"/>
          <w:szCs w:val="24"/>
          <w:highlight w:val="none"/>
        </w:rPr>
        <w:t>小时售后服务专线：</w:t>
      </w:r>
      <w:r>
        <w:rPr>
          <w:rFonts w:hint="eastAsia" w:ascii="宋体" w:hAnsi="宋体" w:eastAsia="宋体" w:cs="宋体"/>
          <w:sz w:val="24"/>
          <w:szCs w:val="24"/>
          <w:highlight w:val="none"/>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七、异议索赔</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乙方同意甲方选择下述方法解决索赔事宜：</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pacing w:val="2"/>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pacing w:val="-78"/>
          <w:sz w:val="24"/>
          <w:szCs w:val="24"/>
          <w:highlight w:val="none"/>
        </w:rPr>
        <w:t xml:space="preserve"> </w:t>
      </w:r>
      <w:r>
        <w:rPr>
          <w:rFonts w:hint="eastAsia" w:ascii="宋体" w:hAnsi="宋体" w:eastAsia="宋体" w:cs="宋体"/>
          <w:sz w:val="24"/>
          <w:szCs w:val="24"/>
          <w:highlight w:val="none"/>
        </w:rPr>
        <w:t>乙方对于所提供的设备与合同要求不符负有完全责任。乙方货物不符合质量要求，甲方有权拒收货</w:t>
      </w:r>
      <w:r>
        <w:rPr>
          <w:rFonts w:hint="eastAsia" w:ascii="宋体" w:hAnsi="宋体" w:eastAsia="宋体" w:cs="宋体"/>
          <w:spacing w:val="2"/>
          <w:sz w:val="24"/>
          <w:szCs w:val="24"/>
          <w:highlight w:val="none"/>
        </w:rPr>
        <w:t>物，乙方应把被拒收的货物的已付金额以合同规定的同类货币退还甲方，乙方负担由此发生的一切损失和费用（但不包括间接损失）。包括由此产生的利息、银行费用、运费、保险费、检验费、储存费、装卸费、 以及其它所有保管和维护被拒收货物所发生的费用。</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jc w:val="both"/>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7.2 如货物到达后发现有受损和瑕疵，</w:t>
      </w:r>
      <w:r>
        <w:rPr>
          <w:rFonts w:hint="eastAsia" w:ascii="宋体" w:hAnsi="宋体" w:eastAsia="宋体" w:cs="宋体"/>
          <w:sz w:val="24"/>
          <w:szCs w:val="24"/>
          <w:highlight w:val="none"/>
        </w:rPr>
        <w:t>甲方有权根据货物的瑕疵和受损程度以及甲方遭受损失的金额，</w:t>
      </w:r>
      <w:r>
        <w:rPr>
          <w:rFonts w:hint="eastAsia" w:ascii="宋体" w:hAnsi="宋体" w:eastAsia="宋体" w:cs="宋体"/>
          <w:w w:val="99"/>
          <w:sz w:val="24"/>
          <w:szCs w:val="24"/>
          <w:highlight w:val="none"/>
        </w:rPr>
        <w:t xml:space="preserve"> </w:t>
      </w:r>
      <w:r>
        <w:rPr>
          <w:rFonts w:hint="eastAsia" w:ascii="宋体" w:hAnsi="宋体" w:eastAsia="宋体" w:cs="宋体"/>
          <w:spacing w:val="2"/>
          <w:sz w:val="24"/>
          <w:szCs w:val="24"/>
          <w:highlight w:val="none"/>
        </w:rPr>
        <w:t>要求乙方相应地赔偿，并对受损和有瑕疵的部位予以修补使货物能正常使用或要求乙方更换货物，由此形</w:t>
      </w:r>
      <w:r>
        <w:rPr>
          <w:rFonts w:hint="eastAsia" w:ascii="宋体" w:hAnsi="宋体" w:eastAsia="宋体" w:cs="宋体"/>
          <w:sz w:val="24"/>
          <w:szCs w:val="24"/>
          <w:highlight w:val="none"/>
        </w:rPr>
        <w:t>成的费用及交货期限延误的责任均由乙方承担。</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7.3</w:t>
      </w:r>
      <w:r>
        <w:rPr>
          <w:rFonts w:hint="eastAsia" w:ascii="宋体" w:hAnsi="宋体" w:eastAsia="宋体" w:cs="宋体"/>
          <w:spacing w:val="96"/>
          <w:w w:val="95"/>
          <w:sz w:val="24"/>
          <w:szCs w:val="24"/>
          <w:highlight w:val="none"/>
        </w:rPr>
        <w:t xml:space="preserve"> </w:t>
      </w:r>
      <w:r>
        <w:rPr>
          <w:rFonts w:hint="eastAsia" w:ascii="宋体" w:hAnsi="宋体" w:eastAsia="宋体" w:cs="宋体"/>
          <w:spacing w:val="2"/>
          <w:sz w:val="24"/>
          <w:szCs w:val="24"/>
          <w:highlight w:val="none"/>
        </w:rPr>
        <w:t>对有缺陷的零件、部件和设备，乙方应予更换，以达到合同规定的规格、质量和性能，乙方承担一切费用和风</w:t>
      </w:r>
      <w:r>
        <w:rPr>
          <w:rFonts w:hint="eastAsia" w:ascii="宋体" w:hAnsi="宋体" w:eastAsia="宋体" w:cs="宋体"/>
          <w:sz w:val="24"/>
          <w:szCs w:val="24"/>
          <w:highlight w:val="none"/>
        </w:rPr>
        <w:t>险并负担甲方遭受的损失。由此造成的工期延误的责任由乙方承担。</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 xml:space="preserve">7.4  </w:t>
      </w:r>
      <w:r>
        <w:rPr>
          <w:rFonts w:hint="eastAsia" w:ascii="宋体" w:hAnsi="宋体" w:eastAsia="宋体" w:cs="宋体"/>
          <w:sz w:val="24"/>
          <w:szCs w:val="24"/>
          <w:highlight w:val="none"/>
        </w:rPr>
        <w:t>根据有关部门检验结果或者在质量保证期内，如果货物的数量、质量或规格与合同不符，或证实货物是有缺</w:t>
      </w:r>
      <w:r>
        <w:rPr>
          <w:rFonts w:hint="eastAsia" w:ascii="宋体" w:hAnsi="宋体" w:eastAsia="宋体" w:cs="宋体"/>
          <w:spacing w:val="-5"/>
          <w:sz w:val="24"/>
          <w:szCs w:val="24"/>
          <w:highlight w:val="none"/>
        </w:rPr>
        <w:t>陷的，包括潜在的缺陷，甲方应在上述情况证实后</w:t>
      </w:r>
      <w:r>
        <w:rPr>
          <w:rFonts w:hint="eastAsia" w:ascii="宋体" w:hAnsi="宋体" w:eastAsia="宋体" w:cs="宋体"/>
          <w:spacing w:val="-56"/>
          <w:sz w:val="24"/>
          <w:szCs w:val="24"/>
          <w:highlight w:val="none"/>
        </w:rPr>
        <w:t xml:space="preserve"> </w:t>
      </w:r>
      <w:r>
        <w:rPr>
          <w:rFonts w:hint="eastAsia" w:ascii="宋体" w:hAnsi="宋体" w:eastAsia="宋体" w:cs="宋体"/>
          <w:sz w:val="24"/>
          <w:szCs w:val="24"/>
          <w:highlight w:val="none"/>
        </w:rPr>
        <w:t>10</w:t>
      </w:r>
      <w:r>
        <w:rPr>
          <w:rFonts w:hint="eastAsia" w:ascii="宋体" w:hAnsi="宋体" w:eastAsia="宋体" w:cs="宋体"/>
          <w:spacing w:val="-60"/>
          <w:sz w:val="24"/>
          <w:szCs w:val="24"/>
          <w:highlight w:val="none"/>
        </w:rPr>
        <w:t xml:space="preserve"> </w:t>
      </w:r>
      <w:r>
        <w:rPr>
          <w:rFonts w:hint="eastAsia" w:ascii="宋体" w:hAnsi="宋体" w:eastAsia="宋体" w:cs="宋体"/>
          <w:sz w:val="24"/>
          <w:szCs w:val="24"/>
          <w:highlight w:val="none"/>
        </w:rPr>
        <w:t>天内以书面形式向乙方提出其保证下的索赔。</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jc w:val="both"/>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乙方在收到通知后应免费更换与合同不符或有缺陷的货物。如果乙方在收到通知后</w:t>
      </w:r>
      <w:r>
        <w:rPr>
          <w:rFonts w:hint="eastAsia" w:ascii="宋体" w:hAnsi="宋体" w:eastAsia="宋体" w:cs="宋体"/>
          <w:spacing w:val="-61"/>
          <w:sz w:val="24"/>
          <w:szCs w:val="24"/>
          <w:highlight w:val="none"/>
        </w:rPr>
        <w:t xml:space="preserve"> </w:t>
      </w:r>
      <w:r>
        <w:rPr>
          <w:rFonts w:hint="eastAsia" w:ascii="宋体" w:hAnsi="宋体" w:eastAsia="宋体" w:cs="宋体"/>
          <w:sz w:val="24"/>
          <w:szCs w:val="24"/>
          <w:highlight w:val="none"/>
        </w:rPr>
        <w:t>3</w:t>
      </w:r>
      <w:r>
        <w:rPr>
          <w:rFonts w:hint="eastAsia" w:ascii="宋体" w:hAnsi="宋体" w:eastAsia="宋体" w:cs="宋体"/>
          <w:spacing w:val="-57"/>
          <w:sz w:val="24"/>
          <w:szCs w:val="24"/>
          <w:highlight w:val="none"/>
        </w:rPr>
        <w:t xml:space="preserve"> </w:t>
      </w:r>
      <w:r>
        <w:rPr>
          <w:rFonts w:hint="eastAsia" w:ascii="宋体" w:hAnsi="宋体" w:eastAsia="宋体" w:cs="宋体"/>
          <w:spacing w:val="2"/>
          <w:sz w:val="24"/>
          <w:szCs w:val="24"/>
          <w:highlight w:val="none"/>
        </w:rPr>
        <w:t>个工作日内没有采取有效的行动去弥补缺陷，甲方可以采取必要的补救措施，但其风险和必要合理的费用将由乙方承担，甲方 根</w:t>
      </w:r>
      <w:r>
        <w:rPr>
          <w:rFonts w:hint="eastAsia" w:ascii="宋体" w:hAnsi="宋体" w:eastAsia="宋体" w:cs="宋体"/>
          <w:sz w:val="24"/>
          <w:szCs w:val="24"/>
          <w:highlight w:val="none"/>
        </w:rPr>
        <w:t>据合同约定或法律规定对乙方形成的其他权利也不受影响。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7.5 如果在乙方收到索赔通知后 3</w:t>
      </w:r>
      <w:r>
        <w:rPr>
          <w:rFonts w:hint="eastAsia" w:ascii="宋体" w:hAnsi="宋体" w:eastAsia="宋体" w:cs="宋体"/>
          <w:spacing w:val="-27"/>
          <w:sz w:val="24"/>
          <w:szCs w:val="24"/>
          <w:highlight w:val="none"/>
        </w:rPr>
        <w:t xml:space="preserve"> </w:t>
      </w:r>
      <w:r>
        <w:rPr>
          <w:rFonts w:hint="eastAsia" w:ascii="宋体" w:hAnsi="宋体" w:eastAsia="宋体" w:cs="宋体"/>
          <w:sz w:val="24"/>
          <w:szCs w:val="24"/>
          <w:highlight w:val="none"/>
        </w:rPr>
        <w:t>天内，乙方未作答复，上述索赔应视为已被乙方接受。如乙方未能在收到索赔通知后</w:t>
      </w:r>
      <w:r>
        <w:rPr>
          <w:rFonts w:hint="eastAsia" w:ascii="宋体" w:hAnsi="宋体" w:eastAsia="宋体" w:cs="宋体"/>
          <w:spacing w:val="15"/>
          <w:sz w:val="24"/>
          <w:szCs w:val="24"/>
          <w:highlight w:val="none"/>
        </w:rPr>
        <w:t xml:space="preserve"> </w:t>
      </w:r>
      <w:r>
        <w:rPr>
          <w:rFonts w:hint="eastAsia" w:ascii="宋体" w:hAnsi="宋体" w:eastAsia="宋体" w:cs="宋体"/>
          <w:sz w:val="24"/>
          <w:szCs w:val="24"/>
          <w:highlight w:val="none"/>
        </w:rPr>
        <w:t>5</w:t>
      </w:r>
      <w:r>
        <w:rPr>
          <w:rFonts w:hint="eastAsia" w:ascii="宋体" w:hAnsi="宋体" w:eastAsia="宋体" w:cs="宋体"/>
          <w:spacing w:val="-46"/>
          <w:sz w:val="24"/>
          <w:szCs w:val="24"/>
          <w:highlight w:val="none"/>
        </w:rPr>
        <w:t xml:space="preserve"> </w:t>
      </w:r>
      <w:r>
        <w:rPr>
          <w:rFonts w:hint="eastAsia" w:ascii="宋体" w:hAnsi="宋体" w:eastAsia="宋体" w:cs="宋体"/>
          <w:sz w:val="24"/>
          <w:szCs w:val="24"/>
          <w:highlight w:val="none"/>
        </w:rPr>
        <w:t>天内或甲方同意的延长期限内，按照甲方选择的方法解决索赔事宜，甲方将有权从应</w:t>
      </w:r>
      <w:r>
        <w:rPr>
          <w:rFonts w:hint="eastAsia" w:ascii="宋体" w:hAnsi="宋体" w:eastAsia="宋体" w:cs="宋体"/>
          <w:spacing w:val="-103"/>
          <w:sz w:val="24"/>
          <w:szCs w:val="24"/>
          <w:highlight w:val="none"/>
        </w:rPr>
        <w:t xml:space="preserve"> </w:t>
      </w:r>
      <w:r>
        <w:rPr>
          <w:rFonts w:hint="eastAsia" w:ascii="宋体" w:hAnsi="宋体" w:eastAsia="宋体" w:cs="宋体"/>
          <w:sz w:val="24"/>
          <w:szCs w:val="24"/>
          <w:highlight w:val="none"/>
        </w:rPr>
        <w:t>付款和履约保证金中扣回索赔金额。</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7.6</w:t>
      </w:r>
      <w:r>
        <w:rPr>
          <w:rFonts w:hint="eastAsia" w:ascii="宋体" w:hAnsi="宋体" w:eastAsia="宋体" w:cs="宋体"/>
          <w:spacing w:val="-61"/>
          <w:sz w:val="24"/>
          <w:szCs w:val="24"/>
          <w:highlight w:val="none"/>
        </w:rPr>
        <w:t xml:space="preserve"> </w:t>
      </w:r>
      <w:r>
        <w:rPr>
          <w:rFonts w:hint="eastAsia" w:ascii="宋体" w:hAnsi="宋体" w:eastAsia="宋体" w:cs="宋体"/>
          <w:spacing w:val="-4"/>
          <w:sz w:val="24"/>
          <w:szCs w:val="24"/>
          <w:highlight w:val="none"/>
        </w:rPr>
        <w:t>间接损失：无论是由于合同的违约、质保期违约、侵权(包括各类疏忽)、专利侵权或其他类似事项，</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卖方无需对纯财务性的、后续的、或间接的损失承担责任，这类损失包括但不限制于:</w:t>
      </w:r>
      <w:r>
        <w:rPr>
          <w:rFonts w:hint="eastAsia" w:ascii="宋体" w:hAnsi="宋体" w:eastAsia="宋体" w:cs="宋体"/>
          <w:spacing w:val="-29"/>
          <w:sz w:val="24"/>
          <w:szCs w:val="24"/>
          <w:highlight w:val="none"/>
        </w:rPr>
        <w:t xml:space="preserve"> </w:t>
      </w:r>
      <w:r>
        <w:rPr>
          <w:rFonts w:hint="eastAsia" w:ascii="宋体" w:hAnsi="宋体" w:eastAsia="宋体" w:cs="宋体"/>
          <w:sz w:val="24"/>
          <w:szCs w:val="24"/>
          <w:highlight w:val="none"/>
        </w:rPr>
        <w:t>利润或收入的下降，</w:t>
      </w:r>
      <w:r>
        <w:rPr>
          <w:rFonts w:hint="eastAsia" w:ascii="宋体" w:hAnsi="宋体" w:eastAsia="宋体" w:cs="宋体"/>
          <w:w w:val="99"/>
          <w:sz w:val="24"/>
          <w:szCs w:val="24"/>
          <w:highlight w:val="none"/>
        </w:rPr>
        <w:t xml:space="preserve"> </w:t>
      </w:r>
      <w:r>
        <w:rPr>
          <w:rFonts w:hint="eastAsia" w:ascii="宋体" w:hAnsi="宋体" w:eastAsia="宋体" w:cs="宋体"/>
          <w:spacing w:val="2"/>
          <w:sz w:val="24"/>
          <w:szCs w:val="24"/>
          <w:highlight w:val="none"/>
        </w:rPr>
        <w:t>非卖方原因造成货物、设备或服务不能使用，闲置费用，及为预防或降低这类损失而采取的措施的任何支</w:t>
      </w:r>
      <w:r>
        <w:rPr>
          <w:rFonts w:hint="eastAsia" w:ascii="宋体" w:hAnsi="宋体" w:eastAsia="宋体" w:cs="宋体"/>
          <w:sz w:val="24"/>
          <w:szCs w:val="24"/>
          <w:highlight w:val="none"/>
        </w:rPr>
        <w:t>出。因乙方的产品及服务侵犯人身权的,其损失范围依法确定，不受上一款约定的限制。</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八、不可抗力</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8.1</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rPr>
        <w:t>由于不可抗力原因造成的不可预见的事故而不能按合同约定交货时，乙方应立即以书面形式通知甲方，证明事故的存在。这些事件包括：战争、严重水灾、台风、地震以及双方商定的事件。</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 xml:space="preserve">8.2  </w:t>
      </w:r>
      <w:r>
        <w:rPr>
          <w:rFonts w:hint="eastAsia" w:ascii="宋体" w:hAnsi="宋体" w:eastAsia="宋体" w:cs="宋体"/>
          <w:sz w:val="24"/>
          <w:szCs w:val="24"/>
          <w:highlight w:val="none"/>
        </w:rPr>
        <w:t>在不可抗力事件发生后，双方应努力寻求采取合理的方案履行不受不可抗力影响的其他事项。如不可抗力因素继续存在，致使在合同的交货期后</w:t>
      </w:r>
      <w:r>
        <w:rPr>
          <w:rFonts w:hint="eastAsia" w:ascii="宋体" w:hAnsi="宋体" w:eastAsia="宋体" w:cs="宋体"/>
          <w:spacing w:val="-65"/>
          <w:sz w:val="24"/>
          <w:szCs w:val="24"/>
          <w:highlight w:val="non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天内仍不能交货，甲方则有权解除合同，这时，买卖双方</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均不得提出索赔。甲方不承担终止合同的责任，也不可没收履约保证金。</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九、违约责任</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pacing w:val="2"/>
          <w:sz w:val="24"/>
          <w:szCs w:val="24"/>
          <w:highlight w:val="none"/>
        </w:rPr>
      </w:pPr>
      <w:r>
        <w:rPr>
          <w:rFonts w:hint="eastAsia" w:ascii="宋体" w:hAnsi="宋体" w:eastAsia="宋体" w:cs="宋体"/>
          <w:sz w:val="24"/>
          <w:szCs w:val="24"/>
          <w:highlight w:val="none"/>
        </w:rPr>
        <w:t>9.1</w:t>
      </w:r>
      <w:r>
        <w:rPr>
          <w:rFonts w:hint="eastAsia" w:ascii="宋体" w:hAnsi="宋体" w:eastAsia="宋体" w:cs="宋体"/>
          <w:spacing w:val="-54"/>
          <w:sz w:val="24"/>
          <w:szCs w:val="24"/>
          <w:highlight w:val="none"/>
        </w:rPr>
        <w:t xml:space="preserve"> </w:t>
      </w:r>
      <w:r>
        <w:rPr>
          <w:rFonts w:hint="eastAsia" w:ascii="宋体" w:hAnsi="宋体" w:eastAsia="宋体" w:cs="宋体"/>
          <w:spacing w:val="2"/>
          <w:sz w:val="24"/>
          <w:szCs w:val="24"/>
          <w:highlight w:val="none"/>
        </w:rPr>
        <w:t>如果乙方不能按合同规定时间交货完毕，每逾期一天，乙方应当按合同总价款的</w:t>
      </w:r>
      <w:r>
        <w:rPr>
          <w:rFonts w:hint="eastAsia" w:ascii="宋体" w:hAnsi="宋体" w:eastAsia="宋体" w:cs="宋体"/>
          <w:spacing w:val="-52"/>
          <w:sz w:val="24"/>
          <w:szCs w:val="24"/>
          <w:highlight w:val="non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pacing w:val="-2"/>
          <w:sz w:val="24"/>
          <w:szCs w:val="24"/>
          <w:highlight w:val="none"/>
        </w:rPr>
        <w:t xml:space="preserve"> </w:t>
      </w:r>
      <w:r>
        <w:rPr>
          <w:rFonts w:hint="eastAsia" w:ascii="宋体" w:hAnsi="宋体" w:eastAsia="宋体" w:cs="宋体"/>
          <w:spacing w:val="2"/>
          <w:sz w:val="24"/>
          <w:szCs w:val="24"/>
          <w:highlight w:val="none"/>
        </w:rPr>
        <w:t xml:space="preserve">向甲方支付违约金；逾期超过 </w:t>
      </w:r>
      <w:r>
        <w:rPr>
          <w:rFonts w:hint="eastAsia" w:ascii="宋体" w:hAnsi="宋体" w:eastAsia="宋体" w:cs="宋体"/>
          <w:spacing w:val="2"/>
          <w:sz w:val="24"/>
          <w:szCs w:val="24"/>
          <w:highlight w:val="none"/>
          <w:u w:val="single"/>
          <w:lang w:val="en-US" w:eastAsia="zh-CN"/>
        </w:rPr>
        <w:t xml:space="preserve">     </w:t>
      </w:r>
      <w:r>
        <w:rPr>
          <w:rFonts w:hint="eastAsia" w:ascii="宋体" w:hAnsi="宋体" w:eastAsia="宋体" w:cs="宋体"/>
          <w:spacing w:val="2"/>
          <w:sz w:val="24"/>
          <w:szCs w:val="24"/>
          <w:highlight w:val="none"/>
        </w:rPr>
        <w:t>天，甲方有权解除合同，并追究乙方违约责任，由此给甲方造成的损失乙方应当赔偿。</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pacing w:val="2"/>
          <w:sz w:val="24"/>
          <w:szCs w:val="24"/>
          <w:highlight w:val="none"/>
        </w:rPr>
      </w:pPr>
      <w:r>
        <w:rPr>
          <w:rFonts w:hint="eastAsia" w:ascii="宋体" w:hAnsi="宋体" w:eastAsia="宋体" w:cs="宋体"/>
          <w:w w:val="95"/>
          <w:sz w:val="24"/>
          <w:szCs w:val="24"/>
          <w:highlight w:val="none"/>
        </w:rPr>
        <w:t>9.2</w:t>
      </w:r>
      <w:r>
        <w:rPr>
          <w:rFonts w:hint="eastAsia" w:ascii="宋体" w:hAnsi="宋体" w:eastAsia="宋体" w:cs="宋体"/>
          <w:spacing w:val="99"/>
          <w:w w:val="95"/>
          <w:sz w:val="24"/>
          <w:szCs w:val="24"/>
          <w:highlight w:val="none"/>
        </w:rPr>
        <w:t xml:space="preserve"> </w:t>
      </w:r>
      <w:r>
        <w:rPr>
          <w:rFonts w:hint="eastAsia" w:ascii="宋体" w:hAnsi="宋体" w:eastAsia="宋体" w:cs="宋体"/>
          <w:spacing w:val="2"/>
          <w:sz w:val="24"/>
          <w:szCs w:val="24"/>
          <w:highlight w:val="none"/>
        </w:rPr>
        <w:t xml:space="preserve">如果甲方不能按合同规定期限内付款，每逾期一天，甲方应按同期人民银行贷款利率向乙方支付违约金,甲方逾期付款违约金赔偿总额不超过合同总额的 </w:t>
      </w:r>
      <w:r>
        <w:rPr>
          <w:rFonts w:hint="eastAsia" w:ascii="宋体" w:hAnsi="宋体" w:eastAsia="宋体" w:cs="宋体"/>
          <w:spacing w:val="2"/>
          <w:sz w:val="24"/>
          <w:szCs w:val="24"/>
          <w:highlight w:val="none"/>
          <w:u w:val="single"/>
          <w:lang w:val="en-US" w:eastAsia="zh-CN"/>
        </w:rPr>
        <w:t xml:space="preserve">      </w:t>
      </w:r>
      <w:r>
        <w:rPr>
          <w:rFonts w:hint="eastAsia" w:ascii="宋体" w:hAnsi="宋体" w:eastAsia="宋体" w:cs="宋体"/>
          <w:spacing w:val="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pacing w:val="2"/>
          <w:sz w:val="24"/>
          <w:szCs w:val="24"/>
          <w:highlight w:val="none"/>
        </w:rPr>
      </w:pPr>
      <w:r>
        <w:rPr>
          <w:rFonts w:hint="eastAsia" w:ascii="宋体" w:hAnsi="宋体" w:eastAsia="宋体" w:cs="宋体"/>
          <w:w w:val="95"/>
          <w:sz w:val="24"/>
          <w:szCs w:val="24"/>
          <w:highlight w:val="none"/>
        </w:rPr>
        <w:t>9.3</w:t>
      </w:r>
      <w:r>
        <w:rPr>
          <w:rFonts w:hint="eastAsia" w:ascii="宋体" w:hAnsi="宋体" w:eastAsia="宋体" w:cs="宋体"/>
          <w:spacing w:val="99"/>
          <w:w w:val="95"/>
          <w:sz w:val="24"/>
          <w:szCs w:val="24"/>
          <w:highlight w:val="none"/>
        </w:rPr>
        <w:t xml:space="preserve"> </w:t>
      </w:r>
      <w:r>
        <w:rPr>
          <w:rFonts w:hint="eastAsia" w:ascii="宋体" w:hAnsi="宋体" w:eastAsia="宋体" w:cs="宋体"/>
          <w:spacing w:val="2"/>
          <w:sz w:val="24"/>
          <w:szCs w:val="24"/>
          <w:highlight w:val="none"/>
        </w:rPr>
        <w:t>如因乙方交付的货物不符合合同约定的标准，甲方有权要求乙方更换合格产品，如因此造成交货或交付使用日期延误，乙方还应承担逾期交付的违约责任。</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9.4</w:t>
      </w:r>
      <w:r>
        <w:rPr>
          <w:rFonts w:hint="eastAsia" w:ascii="宋体" w:hAnsi="宋体" w:eastAsia="宋体" w:cs="宋体"/>
          <w:spacing w:val="-76"/>
          <w:sz w:val="24"/>
          <w:szCs w:val="24"/>
          <w:highlight w:val="none"/>
        </w:rPr>
        <w:t xml:space="preserve"> </w:t>
      </w:r>
      <w:r>
        <w:rPr>
          <w:rFonts w:hint="eastAsia" w:ascii="宋体" w:hAnsi="宋体" w:eastAsia="宋体" w:cs="宋体"/>
          <w:sz w:val="24"/>
          <w:szCs w:val="24"/>
          <w:highlight w:val="none"/>
        </w:rPr>
        <w:t>如乙方提交的有关设备安装的技术参数错误，由此造成的损失由乙方承担，延误的工期不予顺延。</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9.5</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rPr>
        <w:t xml:space="preserve">乙方未履行或者未恰当履行其保修、合同附随义务及在投标文件中的其他承诺，除赔偿甲方的实际损失外，尚应向甲方支付合同总价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%的违约金。</w:t>
      </w:r>
    </w:p>
    <w:p>
      <w:pPr>
        <w:keepNext w:val="0"/>
        <w:keepLines w:val="0"/>
        <w:pageBreakBefore w:val="0"/>
        <w:widowControl w:val="0"/>
        <w:kinsoku/>
        <w:wordWrap/>
        <w:overflowPunct/>
        <w:topLinePunct w:val="0"/>
        <w:autoSpaceDE/>
        <w:autoSpaceDN/>
        <w:bidi w:val="0"/>
        <w:adjustRightInd/>
        <w:snapToGrid/>
        <w:spacing w:line="360" w:lineRule="auto"/>
        <w:ind w:left="0" w:right="0" w:firstLine="456" w:firstLineChars="200"/>
        <w:jc w:val="both"/>
        <w:textAlignment w:val="auto"/>
        <w:rPr>
          <w:rFonts w:hint="eastAsia" w:ascii="宋体" w:hAnsi="宋体" w:eastAsia="宋体" w:cs="宋体"/>
          <w:sz w:val="24"/>
          <w:szCs w:val="24"/>
          <w:highlight w:val="none"/>
        </w:rPr>
      </w:pPr>
      <w:r>
        <w:rPr>
          <w:rFonts w:hint="eastAsia" w:ascii="宋体" w:hAnsi="宋体" w:eastAsia="宋体" w:cs="宋体"/>
          <w:w w:val="95"/>
          <w:sz w:val="24"/>
          <w:szCs w:val="24"/>
          <w:highlight w:val="none"/>
        </w:rPr>
        <w:t>9.6</w:t>
      </w:r>
      <w:r>
        <w:rPr>
          <w:rFonts w:hint="eastAsia" w:ascii="宋体" w:hAnsi="宋体" w:eastAsia="宋体" w:cs="宋体"/>
          <w:spacing w:val="99"/>
          <w:w w:val="95"/>
          <w:sz w:val="24"/>
          <w:szCs w:val="24"/>
          <w:highlight w:val="none"/>
        </w:rPr>
        <w:t xml:space="preserve"> </w:t>
      </w:r>
      <w:r>
        <w:rPr>
          <w:rFonts w:hint="eastAsia" w:ascii="宋体" w:hAnsi="宋体" w:eastAsia="宋体" w:cs="宋体"/>
          <w:sz w:val="24"/>
          <w:szCs w:val="24"/>
          <w:highlight w:val="none"/>
        </w:rPr>
        <w:t xml:space="preserve">除甲方事先书面同意外，乙方不得部分或全部转让其应履行的合同项下的义务，否则甲方有权解除合同，同时乙方应按合同总价款的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%向甲方支付违约金。</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十、产权与风险转移</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lang w:val="en-US" w:eastAsia="en-US" w:bidi="ar-SA"/>
        </w:rPr>
      </w:pPr>
      <w:r>
        <w:rPr>
          <w:rFonts w:hint="eastAsia" w:ascii="宋体" w:hAnsi="宋体" w:eastAsia="宋体" w:cs="宋体"/>
          <w:sz w:val="24"/>
          <w:szCs w:val="24"/>
          <w:highlight w:val="none"/>
        </w:rPr>
        <w:t>10.1</w:t>
      </w:r>
      <w:r>
        <w:rPr>
          <w:rFonts w:hint="eastAsia" w:ascii="宋体" w:hAnsi="宋体" w:eastAsia="宋体" w:cs="宋体"/>
          <w:spacing w:val="-54"/>
          <w:sz w:val="24"/>
          <w:szCs w:val="24"/>
          <w:highlight w:val="none"/>
        </w:rPr>
        <w:t xml:space="preserve"> </w:t>
      </w:r>
      <w:r>
        <w:rPr>
          <w:rFonts w:hint="eastAsia" w:ascii="宋体" w:hAnsi="宋体" w:eastAsia="宋体" w:cs="宋体"/>
          <w:sz w:val="24"/>
          <w:szCs w:val="24"/>
          <w:highlight w:val="none"/>
          <w:lang w:val="en-US" w:eastAsia="en-US" w:bidi="ar-SA"/>
        </w:rPr>
        <w:t>货物的产权 货物运抵现场后由乙方移交至甲方。如甲方不履行付款义务，标的物仍归乙方所有。</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10.2</w:t>
      </w:r>
      <w:r>
        <w:rPr>
          <w:rFonts w:hint="eastAsia" w:ascii="宋体" w:hAnsi="宋体" w:eastAsia="宋体" w:cs="宋体"/>
          <w:spacing w:val="-33"/>
          <w:sz w:val="24"/>
          <w:szCs w:val="24"/>
          <w:highlight w:val="none"/>
        </w:rPr>
        <w:t xml:space="preserve"> </w:t>
      </w:r>
      <w:r>
        <w:rPr>
          <w:rFonts w:hint="eastAsia" w:ascii="宋体" w:hAnsi="宋体" w:eastAsia="宋体" w:cs="宋体"/>
          <w:sz w:val="24"/>
          <w:szCs w:val="24"/>
          <w:highlight w:val="none"/>
        </w:rPr>
        <w:t>货物损毁、灭失的风险在全部货物安装完毕经验收合格并交付甲方使用之日起移移至甲方，此前</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风险和责任均由乙方承担。</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10.3</w:t>
      </w:r>
      <w:r>
        <w:rPr>
          <w:rFonts w:hint="eastAsia" w:ascii="宋体" w:hAnsi="宋体" w:eastAsia="宋体" w:cs="宋体"/>
          <w:spacing w:val="-72"/>
          <w:sz w:val="24"/>
          <w:szCs w:val="24"/>
          <w:highlight w:val="none"/>
        </w:rPr>
        <w:t xml:space="preserve"> </w:t>
      </w:r>
      <w:r>
        <w:rPr>
          <w:rFonts w:hint="eastAsia" w:ascii="宋体" w:hAnsi="宋体" w:eastAsia="宋体" w:cs="宋体"/>
          <w:sz w:val="24"/>
          <w:szCs w:val="24"/>
          <w:highlight w:val="none"/>
        </w:rPr>
        <w:t>在按照合同拒收情况下，或者解除合同的，货物毁损、灭失的风险由乙方承担。</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10.4</w:t>
      </w:r>
      <w:r>
        <w:rPr>
          <w:rFonts w:hint="eastAsia" w:ascii="宋体" w:hAnsi="宋体" w:eastAsia="宋体" w:cs="宋体"/>
          <w:spacing w:val="-76"/>
          <w:sz w:val="24"/>
          <w:szCs w:val="24"/>
          <w:highlight w:val="none"/>
        </w:rPr>
        <w:t xml:space="preserve"> </w:t>
      </w:r>
      <w:r>
        <w:rPr>
          <w:rFonts w:hint="eastAsia" w:ascii="宋体" w:hAnsi="宋体" w:eastAsia="宋体" w:cs="宋体"/>
          <w:sz w:val="24"/>
          <w:szCs w:val="24"/>
          <w:highlight w:val="none"/>
        </w:rPr>
        <w:t>产权和风险的转移，不影响因乙方履行义务不符合约定，甲方要求其承担违约责任的权利。</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10.5</w:t>
      </w:r>
      <w:r>
        <w:rPr>
          <w:rFonts w:hint="eastAsia" w:ascii="宋体" w:hAnsi="宋体" w:eastAsia="宋体" w:cs="宋体"/>
          <w:spacing w:val="-55"/>
          <w:sz w:val="24"/>
          <w:szCs w:val="24"/>
          <w:highlight w:val="none"/>
        </w:rPr>
        <w:t xml:space="preserve"> </w:t>
      </w:r>
      <w:r>
        <w:rPr>
          <w:rFonts w:hint="eastAsia" w:ascii="宋体" w:hAnsi="宋体" w:eastAsia="宋体" w:cs="宋体"/>
          <w:sz w:val="24"/>
          <w:szCs w:val="24"/>
          <w:highlight w:val="none"/>
        </w:rPr>
        <w:t>乙方交由承运人运输、保存的在途货物，毁损、灭失的风险由乙方承担。</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 xml:space="preserve">十一、合同纠纷的解决 </w:t>
      </w:r>
      <w:r>
        <w:rPr>
          <w:rFonts w:hint="eastAsia" w:ascii="宋体" w:hAnsi="宋体" w:eastAsia="宋体" w:cs="宋体"/>
          <w:spacing w:val="2"/>
          <w:sz w:val="24"/>
          <w:szCs w:val="24"/>
          <w:highlight w:val="none"/>
        </w:rPr>
        <w:t>甲乙双方如果发生合同纠纷，应本着互谅互让、相互尊重、和平友好的原则协商解决。如协商不能解</w:t>
      </w:r>
      <w:r>
        <w:rPr>
          <w:rFonts w:hint="eastAsia" w:ascii="宋体" w:hAnsi="宋体" w:eastAsia="宋体" w:cs="宋体"/>
          <w:sz w:val="24"/>
          <w:szCs w:val="24"/>
          <w:highlight w:val="none"/>
        </w:rPr>
        <w:t>决，双方同意向甲方住所地人民法院提起诉讼。</w:t>
      </w:r>
    </w:p>
    <w:p>
      <w:pPr>
        <w:pStyle w:val="6"/>
        <w:keepNext w:val="0"/>
        <w:keepLines w:val="0"/>
        <w:pageBreakBefore w:val="0"/>
        <w:widowControl w:val="0"/>
        <w:kinsoku/>
        <w:wordWrap/>
        <w:overflowPunct/>
        <w:topLinePunct w:val="0"/>
        <w:autoSpaceDE/>
        <w:autoSpaceDN/>
        <w:bidi w:val="0"/>
        <w:adjustRightInd/>
        <w:snapToGrid/>
        <w:spacing w:before="0"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十二、其它</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12.1</w:t>
      </w:r>
      <w:r>
        <w:rPr>
          <w:rFonts w:hint="eastAsia" w:ascii="宋体" w:hAnsi="宋体" w:eastAsia="宋体" w:cs="宋体"/>
          <w:spacing w:val="-63"/>
          <w:sz w:val="24"/>
          <w:szCs w:val="24"/>
          <w:highlight w:val="none"/>
        </w:rPr>
        <w:t xml:space="preserve"> </w:t>
      </w:r>
      <w:r>
        <w:rPr>
          <w:rFonts w:hint="eastAsia" w:ascii="宋体" w:hAnsi="宋体" w:eastAsia="宋体" w:cs="宋体"/>
          <w:sz w:val="24"/>
          <w:szCs w:val="24"/>
          <w:highlight w:val="none"/>
        </w:rPr>
        <w:t>乙方必须按照甲方的要求安装、施工。</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12.2</w:t>
      </w:r>
      <w:r>
        <w:rPr>
          <w:rFonts w:hint="eastAsia" w:ascii="宋体" w:hAnsi="宋体" w:eastAsia="宋体" w:cs="宋体"/>
          <w:spacing w:val="-33"/>
          <w:sz w:val="24"/>
          <w:szCs w:val="24"/>
          <w:highlight w:val="none"/>
        </w:rPr>
        <w:t xml:space="preserve"> </w:t>
      </w:r>
      <w:r>
        <w:rPr>
          <w:rFonts w:hint="eastAsia" w:ascii="宋体" w:hAnsi="宋体" w:eastAsia="宋体" w:cs="宋体"/>
          <w:sz w:val="24"/>
          <w:szCs w:val="24"/>
          <w:highlight w:val="none"/>
        </w:rPr>
        <w:t>乙方竞标文件的内容及其澄清内容构成本合同不可分割的一部分，如果竞标文件或澄清的内容与</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本合同条款不符，以本合同条款为主。</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12.3</w:t>
      </w:r>
      <w:r>
        <w:rPr>
          <w:rFonts w:hint="eastAsia" w:ascii="宋体" w:hAnsi="宋体" w:eastAsia="宋体" w:cs="宋体"/>
          <w:spacing w:val="-33"/>
          <w:sz w:val="24"/>
          <w:szCs w:val="24"/>
          <w:highlight w:val="none"/>
        </w:rPr>
        <w:t xml:space="preserve"> </w:t>
      </w:r>
      <w:r>
        <w:rPr>
          <w:rFonts w:hint="eastAsia" w:ascii="宋体" w:hAnsi="宋体" w:eastAsia="宋体" w:cs="宋体"/>
          <w:sz w:val="24"/>
          <w:szCs w:val="24"/>
          <w:highlight w:val="none"/>
        </w:rPr>
        <w:t>合同执行中，如需修改或补充合同内容，经甲、乙双方协商一致，可订立补充协议。补充协议为</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本合同组成部分，与本合同具有同等法律效力。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12.4</w:t>
      </w:r>
      <w:r>
        <w:rPr>
          <w:rFonts w:hint="eastAsia" w:ascii="宋体" w:hAnsi="宋体" w:eastAsia="宋体" w:cs="宋体"/>
          <w:spacing w:val="-56"/>
          <w:sz w:val="24"/>
          <w:szCs w:val="24"/>
          <w:highlight w:val="none"/>
        </w:rPr>
        <w:t xml:space="preserve"> </w:t>
      </w:r>
      <w:r>
        <w:rPr>
          <w:rFonts w:hint="eastAsia" w:ascii="宋体" w:hAnsi="宋体" w:eastAsia="宋体" w:cs="宋体"/>
          <w:sz w:val="24"/>
          <w:szCs w:val="24"/>
          <w:highlight w:val="none"/>
        </w:rPr>
        <w:t>双方确定:</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w w:val="99"/>
          <w:sz w:val="24"/>
          <w:szCs w:val="24"/>
          <w:highlight w:val="none"/>
        </w:rPr>
      </w:pPr>
      <w:r>
        <w:rPr>
          <w:rFonts w:hint="eastAsia" w:ascii="宋体" w:hAnsi="宋体" w:eastAsia="宋体" w:cs="宋体"/>
          <w:sz w:val="24"/>
          <w:szCs w:val="24"/>
          <w:highlight w:val="none"/>
        </w:rPr>
        <w:t>甲方的联系人：</w:t>
      </w:r>
      <w:r>
        <w:rPr>
          <w:rFonts w:hint="eastAsia" w:ascii="宋体" w:hAnsi="宋体" w:eastAsia="宋体" w:cs="宋体"/>
          <w:w w:val="99"/>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w w:val="99"/>
          <w:sz w:val="24"/>
          <w:szCs w:val="24"/>
          <w:highlight w:val="none"/>
        </w:rPr>
      </w:pPr>
      <w:r>
        <w:rPr>
          <w:rFonts w:hint="eastAsia" w:ascii="宋体" w:hAnsi="宋体" w:eastAsia="宋体" w:cs="宋体"/>
          <w:sz w:val="24"/>
          <w:szCs w:val="24"/>
          <w:highlight w:val="none"/>
        </w:rPr>
        <w:t>邮箱地址：</w:t>
      </w:r>
      <w:r>
        <w:rPr>
          <w:rFonts w:hint="eastAsia" w:ascii="宋体" w:hAnsi="宋体" w:eastAsia="宋体" w:cs="宋体"/>
          <w:w w:val="99"/>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w w:val="99"/>
          <w:sz w:val="24"/>
          <w:szCs w:val="24"/>
          <w:highlight w:val="none"/>
        </w:rPr>
      </w:pPr>
      <w:r>
        <w:rPr>
          <w:rFonts w:hint="eastAsia" w:ascii="宋体" w:hAnsi="宋体" w:eastAsia="宋体" w:cs="宋体"/>
          <w:sz w:val="24"/>
          <w:szCs w:val="24"/>
          <w:highlight w:val="none"/>
        </w:rPr>
        <w:t>乙方的联系人：</w:t>
      </w:r>
      <w:r>
        <w:rPr>
          <w:rFonts w:hint="eastAsia" w:ascii="宋体" w:hAnsi="宋体" w:eastAsia="宋体" w:cs="宋体"/>
          <w:w w:val="99"/>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邮箱地址:</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12.5</w:t>
      </w:r>
      <w:r>
        <w:rPr>
          <w:rFonts w:hint="eastAsia" w:ascii="宋体" w:hAnsi="宋体" w:eastAsia="宋体" w:cs="宋体"/>
          <w:spacing w:val="-62"/>
          <w:sz w:val="24"/>
          <w:szCs w:val="24"/>
          <w:highlight w:val="none"/>
        </w:rPr>
        <w:t xml:space="preserve"> </w:t>
      </w:r>
      <w:r>
        <w:rPr>
          <w:rFonts w:hint="eastAsia" w:ascii="宋体" w:hAnsi="宋体" w:eastAsia="宋体" w:cs="宋体"/>
          <w:sz w:val="24"/>
          <w:szCs w:val="24"/>
          <w:highlight w:val="none"/>
        </w:rPr>
        <w:t>组成本合同的文件包括但不限于：</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1.本合同及附件；</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2.招投标文件</w:t>
      </w:r>
      <w:r>
        <w:rPr>
          <w:rFonts w:hint="eastAsia" w:ascii="宋体" w:hAnsi="宋体" w:eastAsia="宋体" w:cs="宋体"/>
          <w:spacing w:val="-4"/>
          <w:sz w:val="24"/>
          <w:szCs w:val="24"/>
          <w:highlight w:val="none"/>
        </w:rPr>
        <w:t xml:space="preserve"> </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4.图纸及技术文件；</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5.双方另行签订的协议或会谈纪要。</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12.6</w:t>
      </w:r>
      <w:r>
        <w:rPr>
          <w:rFonts w:hint="eastAsia" w:ascii="宋体" w:hAnsi="宋体" w:eastAsia="宋体" w:cs="宋体"/>
          <w:spacing w:val="-74"/>
          <w:sz w:val="24"/>
          <w:szCs w:val="24"/>
          <w:highlight w:val="none"/>
        </w:rPr>
        <w:t xml:space="preserve"> </w:t>
      </w:r>
      <w:r>
        <w:rPr>
          <w:rFonts w:hint="eastAsia" w:ascii="宋体" w:hAnsi="宋体" w:eastAsia="宋体" w:cs="宋体"/>
          <w:sz w:val="24"/>
          <w:szCs w:val="24"/>
          <w:highlight w:val="none"/>
        </w:rPr>
        <w:t>本合同履行过程中发生争议时，双方应本着真诚合作的精神，通过友好协商解决。</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12.7</w:t>
      </w:r>
      <w:r>
        <w:rPr>
          <w:rFonts w:hint="eastAsia" w:ascii="宋体" w:hAnsi="宋体" w:eastAsia="宋体" w:cs="宋体"/>
          <w:spacing w:val="-33"/>
          <w:sz w:val="24"/>
          <w:szCs w:val="24"/>
          <w:highlight w:val="none"/>
        </w:rPr>
        <w:t xml:space="preserve"> </w:t>
      </w:r>
      <w:r>
        <w:rPr>
          <w:rFonts w:hint="eastAsia" w:ascii="宋体" w:hAnsi="宋体" w:eastAsia="宋体" w:cs="宋体"/>
          <w:sz w:val="24"/>
          <w:szCs w:val="24"/>
          <w:highlight w:val="none"/>
        </w:rPr>
        <w:t>本合同经双方授权代表签字、加盖双方公章或合同专用章后生效，合同签字日期以最后一个签字</w:t>
      </w:r>
      <w:r>
        <w:rPr>
          <w:rFonts w:hint="eastAsia" w:ascii="宋体" w:hAnsi="宋体" w:eastAsia="宋体" w:cs="宋体"/>
          <w:w w:val="99"/>
          <w:sz w:val="24"/>
          <w:szCs w:val="24"/>
          <w:highlight w:val="none"/>
        </w:rPr>
        <w:t xml:space="preserve"> </w:t>
      </w:r>
      <w:r>
        <w:rPr>
          <w:rFonts w:hint="eastAsia" w:ascii="宋体" w:hAnsi="宋体" w:eastAsia="宋体" w:cs="宋体"/>
          <w:sz w:val="24"/>
          <w:szCs w:val="24"/>
          <w:highlight w:val="none"/>
        </w:rPr>
        <w:t>日为准。</w:t>
      </w:r>
    </w:p>
    <w:p>
      <w:pPr>
        <w:keepNext w:val="0"/>
        <w:keepLines w:val="0"/>
        <w:pageBreakBefore w:val="0"/>
        <w:widowControl w:val="0"/>
        <w:tabs>
          <w:tab w:val="left" w:pos="2921"/>
          <w:tab w:val="left" w:pos="4075"/>
          <w:tab w:val="left" w:pos="5232"/>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15.6</w:t>
      </w:r>
      <w:r>
        <w:rPr>
          <w:rFonts w:hint="eastAsia" w:ascii="宋体" w:hAnsi="宋体" w:eastAsia="宋体" w:cs="宋体"/>
          <w:spacing w:val="-58"/>
          <w:sz w:val="24"/>
          <w:szCs w:val="24"/>
          <w:highlight w:val="none"/>
        </w:rPr>
        <w:t xml:space="preserve"> </w:t>
      </w:r>
      <w:r>
        <w:rPr>
          <w:rFonts w:hint="eastAsia" w:ascii="宋体" w:hAnsi="宋体" w:eastAsia="宋体" w:cs="宋体"/>
          <w:sz w:val="24"/>
          <w:szCs w:val="24"/>
          <w:highlight w:val="none"/>
        </w:rPr>
        <w:t>本合同正本一式</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份。甲方</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份，乙方</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甲方（盖章）：</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乙方（盖章）：</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委托代理人（签字）：</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委托代理人（签字）：</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地址：</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手机号：</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r>
        <w:rPr>
          <w:rFonts w:hint="eastAsia" w:ascii="宋体" w:hAnsi="宋体" w:eastAsia="宋体" w:cs="宋体"/>
          <w:sz w:val="24"/>
          <w:szCs w:val="24"/>
          <w:highlight w:val="none"/>
          <w:lang w:eastAsia="zh-CN"/>
        </w:rPr>
        <w:t>：</w:t>
      </w:r>
      <w:r>
        <w:rPr>
          <w:rFonts w:hint="eastAsia" w:ascii="宋体" w:hAnsi="宋体" w:eastAsia="宋体" w:cs="宋体"/>
          <w:w w:val="95"/>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传真</w:t>
      </w:r>
      <w:r>
        <w:rPr>
          <w:rFonts w:hint="eastAsia" w:ascii="宋体" w:hAnsi="宋体" w:eastAsia="宋体" w:cs="宋体"/>
          <w:sz w:val="24"/>
          <w:szCs w:val="24"/>
          <w:highlight w:val="none"/>
          <w:lang w:eastAsia="zh-CN"/>
        </w:rPr>
        <w:t>：</w:t>
      </w:r>
    </w:p>
    <w:p>
      <w:pPr>
        <w:keepNext w:val="0"/>
        <w:keepLines w:val="0"/>
        <w:pageBreakBefore w:val="0"/>
        <w:widowControl w:val="0"/>
        <w:tabs>
          <w:tab w:val="left" w:pos="1399"/>
          <w:tab w:val="left" w:pos="2028"/>
          <w:tab w:val="left" w:pos="2659"/>
          <w:tab w:val="left" w:pos="5494"/>
          <w:tab w:val="left" w:pos="6545"/>
          <w:tab w:val="left" w:pos="7068"/>
          <w:tab w:val="left" w:pos="7699"/>
        </w:tabs>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rPr>
        <w:tab/>
      </w:r>
      <w:r>
        <w:rPr>
          <w:rFonts w:hint="eastAsia" w:ascii="宋体" w:hAnsi="宋体" w:eastAsia="宋体" w:cs="宋体"/>
          <w:sz w:val="24"/>
          <w:szCs w:val="24"/>
          <w:highlight w:val="none"/>
        </w:rPr>
        <w:t>年</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r>
        <w:rPr>
          <w:rFonts w:hint="eastAsia" w:ascii="宋体" w:hAnsi="宋体" w:eastAsia="宋体" w:cs="宋体"/>
          <w:w w:val="95"/>
          <w:sz w:val="24"/>
          <w:szCs w:val="24"/>
          <w:highlight w:val="none"/>
        </w:rPr>
        <w:tab/>
      </w:r>
      <w:r>
        <w:rPr>
          <w:rFonts w:hint="eastAsia" w:ascii="宋体" w:hAnsi="宋体" w:eastAsia="宋体" w:cs="宋体"/>
          <w:w w:val="95"/>
          <w:sz w:val="24"/>
          <w:szCs w:val="24"/>
          <w:highlight w:val="none"/>
          <w:lang w:val="en-US" w:eastAsia="zh-CN"/>
        </w:rPr>
        <w:t xml:space="preserve">      </w:t>
      </w:r>
      <w:r>
        <w:rPr>
          <w:rFonts w:hint="eastAsia" w:ascii="宋体" w:hAnsi="宋体" w:eastAsia="宋体" w:cs="宋体"/>
          <w:sz w:val="24"/>
          <w:szCs w:val="24"/>
          <w:highlight w:val="none"/>
        </w:rPr>
        <w:t>日期：</w:t>
      </w:r>
      <w:r>
        <w:rPr>
          <w:rFonts w:hint="eastAsia" w:ascii="宋体" w:hAnsi="宋体" w:eastAsia="宋体" w:cs="宋体"/>
          <w:sz w:val="24"/>
          <w:szCs w:val="24"/>
          <w:highlight w:val="none"/>
        </w:rPr>
        <w:tab/>
      </w:r>
      <w:r>
        <w:rPr>
          <w:rFonts w:hint="eastAsia" w:ascii="宋体" w:hAnsi="宋体" w:eastAsia="宋体" w:cs="宋体"/>
          <w:sz w:val="24"/>
          <w:szCs w:val="24"/>
          <w:highlight w:val="none"/>
        </w:rPr>
        <w:t>年</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left="0" w:right="0" w:firstLine="400" w:firstLineChars="200"/>
        <w:jc w:val="both"/>
        <w:textAlignment w:val="auto"/>
        <w:rPr>
          <w:rFonts w:ascii="宋体" w:hAnsi="宋体" w:eastAsia="宋体" w:cs="宋体"/>
          <w:sz w:val="20"/>
          <w:szCs w:val="20"/>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pStyle w:val="2"/>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pStyle w:val="3"/>
        <w:numPr>
          <w:ilvl w:val="0"/>
          <w:numId w:val="0"/>
        </w:numPr>
        <w:spacing w:before="39" w:line="240" w:lineRule="auto"/>
        <w:ind w:right="0" w:rightChars="0" w:firstLine="1800" w:firstLineChars="500"/>
        <w:jc w:val="left"/>
        <w:rPr>
          <w:rFonts w:ascii="宋体" w:hAnsi="宋体" w:eastAsia="宋体"/>
          <w:highlight w:val="none"/>
        </w:rPr>
      </w:pPr>
      <w:bookmarkStart w:id="160" w:name="_bookmark22"/>
      <w:bookmarkEnd w:id="160"/>
      <w:bookmarkStart w:id="161" w:name="第五章技术参数及要求"/>
      <w:bookmarkEnd w:id="161"/>
      <w:r>
        <w:rPr>
          <w:rFonts w:hint="eastAsia"/>
          <w:highlight w:val="none"/>
          <w:lang w:eastAsia="zh-CN"/>
        </w:rPr>
        <w:t>第五章</w:t>
      </w:r>
      <w:r>
        <w:rPr>
          <w:rFonts w:hint="eastAsia"/>
          <w:highlight w:val="none"/>
          <w:lang w:val="en-US" w:eastAsia="zh-CN"/>
        </w:rPr>
        <w:t xml:space="preserve"> </w:t>
      </w:r>
      <w:r>
        <w:rPr>
          <w:rFonts w:hint="eastAsia" w:ascii="宋体" w:hAnsi="宋体" w:eastAsia="宋体"/>
          <w:highlight w:val="none"/>
          <w:lang w:eastAsia="zh-CN"/>
        </w:rPr>
        <w:t>采购清单及</w:t>
      </w:r>
      <w:r>
        <w:rPr>
          <w:rFonts w:ascii="宋体" w:hAnsi="宋体" w:eastAsia="宋体"/>
          <w:highlight w:val="none"/>
        </w:rPr>
        <w:t>技术参数要求</w:t>
      </w:r>
    </w:p>
    <w:p>
      <w:pPr>
        <w:bidi w:val="0"/>
        <w:rPr>
          <w:highlight w:val="none"/>
        </w:rPr>
      </w:pPr>
    </w:p>
    <w:p>
      <w:pPr>
        <w:bidi w:val="0"/>
        <w:rPr>
          <w:rFonts w:hint="eastAsia"/>
          <w:b/>
          <w:bCs/>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A包：官渡镇党庄村日光温室建设设备及配套设施</w:t>
      </w:r>
    </w:p>
    <w:p>
      <w:pPr>
        <w:numPr>
          <w:ilvl w:val="0"/>
          <w:numId w:val="0"/>
        </w:numPr>
        <w:rPr>
          <w:rFonts w:hint="eastAsia" w:ascii="宋体" w:hAnsi="宋体" w:eastAsia="宋体" w:cs="宋体"/>
          <w:sz w:val="24"/>
          <w:szCs w:val="24"/>
          <w:highlight w:val="none"/>
          <w:lang w:val="en-US" w:eastAsia="zh-CN"/>
        </w:rPr>
      </w:pPr>
    </w:p>
    <w:tbl>
      <w:tblPr>
        <w:tblStyle w:val="18"/>
        <w:tblW w:w="9775"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0"/>
        <w:gridCol w:w="3810"/>
        <w:gridCol w:w="1239"/>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775" w:type="dxa"/>
            <w:gridSpan w:val="5"/>
          </w:tcPr>
          <w:p>
            <w:pPr>
              <w:numPr>
                <w:ilvl w:val="0"/>
                <w:numId w:val="6"/>
              </w:numPr>
              <w:bidi w:val="0"/>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bCs/>
                <w:kern w:val="2"/>
                <w:sz w:val="24"/>
                <w:szCs w:val="24"/>
                <w:highlight w:val="none"/>
                <w:lang w:val="en-US" w:eastAsia="zh-CN"/>
              </w:rPr>
              <w:t>钢支架育苗床及配套设施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序号</w:t>
            </w:r>
          </w:p>
        </w:tc>
        <w:tc>
          <w:tcPr>
            <w:tcW w:w="17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eastAsia="zh-CN"/>
              </w:rPr>
            </w:pPr>
            <w:r>
              <w:rPr>
                <w:rFonts w:hint="eastAsia" w:ascii="宋体" w:hAnsi="宋体" w:eastAsia="宋体" w:cs="宋体"/>
                <w:b w:val="0"/>
                <w:bCs w:val="0"/>
                <w:i w:val="0"/>
                <w:caps w:val="0"/>
                <w:spacing w:val="0"/>
                <w:w w:val="100"/>
                <w:kern w:val="2"/>
                <w:sz w:val="24"/>
                <w:szCs w:val="24"/>
                <w:highlight w:val="none"/>
                <w:lang w:eastAsia="zh-CN"/>
              </w:rPr>
              <w:t>名称</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eastAsia="zh-CN"/>
              </w:rPr>
              <w:t>规格参数</w:t>
            </w:r>
          </w:p>
        </w:tc>
        <w:tc>
          <w:tcPr>
            <w:tcW w:w="1239"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eastAsia="zh-CN"/>
              </w:rPr>
            </w:pPr>
            <w:r>
              <w:rPr>
                <w:rFonts w:hint="eastAsia" w:ascii="宋体" w:hAnsi="宋体" w:eastAsia="宋体" w:cs="宋体"/>
                <w:b w:val="0"/>
                <w:bCs w:val="0"/>
                <w:i w:val="0"/>
                <w:caps w:val="0"/>
                <w:spacing w:val="0"/>
                <w:w w:val="100"/>
                <w:kern w:val="2"/>
                <w:sz w:val="24"/>
                <w:szCs w:val="24"/>
                <w:highlight w:val="none"/>
                <w:lang w:eastAsia="zh-CN"/>
              </w:rPr>
              <w:t>单位</w:t>
            </w:r>
          </w:p>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eastAsia="zh-CN"/>
              </w:rPr>
              <w:t>（平方）</w:t>
            </w:r>
          </w:p>
        </w:tc>
        <w:tc>
          <w:tcPr>
            <w:tcW w:w="2296"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1</w:t>
            </w:r>
          </w:p>
        </w:tc>
        <w:tc>
          <w:tcPr>
            <w:tcW w:w="17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苗床规格</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1.8mm*2mm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rPr>
            </w:pPr>
          </w:p>
        </w:tc>
        <w:tc>
          <w:tcPr>
            <w:tcW w:w="2296"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2</w:t>
            </w:r>
          </w:p>
        </w:tc>
        <w:tc>
          <w:tcPr>
            <w:tcW w:w="17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苗床网</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丝径3.0mm+3.0mm  网孔：30mmx130mm  尺寸：1.8mx2m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kern w:val="2"/>
                <w:sz w:val="24"/>
                <w:szCs w:val="24"/>
                <w:highlight w:val="none"/>
                <w:lang w:val="en-US" w:eastAsia="zh-CN"/>
              </w:rPr>
            </w:pPr>
          </w:p>
          <w:p>
            <w:pPr>
              <w:pStyle w:val="2"/>
              <w:rPr>
                <w:rFonts w:hint="eastAsia" w:ascii="宋体" w:hAnsi="宋体" w:eastAsia="宋体" w:cs="宋体"/>
                <w:b w:val="0"/>
                <w:bCs w:val="0"/>
                <w:kern w:val="2"/>
                <w:sz w:val="24"/>
                <w:szCs w:val="24"/>
                <w:highlight w:val="none"/>
                <w:lang w:val="en-US" w:eastAsia="zh-CN"/>
              </w:rPr>
            </w:pPr>
          </w:p>
        </w:tc>
        <w:tc>
          <w:tcPr>
            <w:tcW w:w="2296"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黑丝焊接后热镀锌，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20" w:type="dxa"/>
            <w:vMerge w:val="restart"/>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3</w:t>
            </w:r>
          </w:p>
        </w:tc>
        <w:tc>
          <w:tcPr>
            <w:tcW w:w="1710" w:type="dxa"/>
            <w:vMerge w:val="restart"/>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铝合金边框</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65mmx27mmx1.2</w:t>
            </w:r>
          </w:p>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mm ， 6m纵向边框</w:t>
            </w:r>
          </w:p>
        </w:tc>
        <w:tc>
          <w:tcPr>
            <w:tcW w:w="1239" w:type="dxa"/>
            <w:vMerge w:val="restart"/>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65-1型铝合金，</w:t>
            </w:r>
            <w:r>
              <w:rPr>
                <w:rFonts w:hint="eastAsia" w:ascii="宋体" w:hAnsi="宋体" w:eastAsia="宋体" w:cs="宋体"/>
                <w:b w:val="0"/>
                <w:bCs w:val="0"/>
                <w:i w:val="0"/>
                <w:caps w:val="0"/>
                <w:spacing w:val="0"/>
                <w:w w:val="100"/>
                <w:kern w:val="2"/>
                <w:sz w:val="24"/>
                <w:szCs w:val="24"/>
                <w:highlight w:val="none"/>
              </w:rPr>
              <w:t>优等</w:t>
            </w:r>
          </w:p>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20" w:type="dxa"/>
            <w:vMerge w:val="continue"/>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p>
        </w:tc>
        <w:tc>
          <w:tcPr>
            <w:tcW w:w="1710" w:type="dxa"/>
            <w:vMerge w:val="continue"/>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65mmx27mmx1.mm 横向边框</w:t>
            </w:r>
          </w:p>
        </w:tc>
        <w:tc>
          <w:tcPr>
            <w:tcW w:w="1239" w:type="dxa"/>
            <w:vMerge w:val="continue"/>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p>
        </w:tc>
        <w:tc>
          <w:tcPr>
            <w:tcW w:w="2296"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4</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双梁型脚架</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 xml:space="preserve">30X 40X2.0mm, </w:t>
            </w:r>
            <w:r>
              <w:rPr>
                <w:rFonts w:hint="eastAsia" w:ascii="宋体" w:hAnsi="宋体" w:eastAsia="宋体" w:cs="宋体"/>
                <w:b w:val="0"/>
                <w:bCs w:val="0"/>
                <w:i w:val="0"/>
                <w:caps w:val="0"/>
                <w:spacing w:val="0"/>
                <w:w w:val="100"/>
                <w:kern w:val="2"/>
                <w:sz w:val="24"/>
                <w:szCs w:val="24"/>
                <w:highlight w:val="none"/>
                <w:lang w:val="en-US" w:eastAsia="zh-CN"/>
              </w:rPr>
              <w:t>1.2</w:t>
            </w:r>
            <w:r>
              <w:rPr>
                <w:rFonts w:hint="eastAsia" w:ascii="宋体" w:hAnsi="宋体" w:eastAsia="宋体" w:cs="宋体"/>
                <w:b w:val="0"/>
                <w:bCs w:val="0"/>
                <w:i w:val="0"/>
                <w:caps w:val="0"/>
                <w:spacing w:val="0"/>
                <w:w w:val="100"/>
                <w:kern w:val="2"/>
                <w:sz w:val="24"/>
                <w:szCs w:val="24"/>
                <w:highlight w:val="none"/>
              </w:rPr>
              <w:t>mx0.6</w:t>
            </w:r>
            <w:r>
              <w:rPr>
                <w:rFonts w:hint="eastAsia" w:ascii="宋体" w:hAnsi="宋体" w:eastAsia="宋体" w:cs="宋体"/>
                <w:b w:val="0"/>
                <w:bCs w:val="0"/>
                <w:i w:val="0"/>
                <w:caps w:val="0"/>
                <w:spacing w:val="0"/>
                <w:w w:val="100"/>
                <w:kern w:val="2"/>
                <w:sz w:val="24"/>
                <w:szCs w:val="24"/>
                <w:highlight w:val="none"/>
                <w:lang w:val="en-US" w:eastAsia="zh-CN"/>
              </w:rPr>
              <w:t>2</w:t>
            </w:r>
            <w:r>
              <w:rPr>
                <w:rFonts w:hint="eastAsia" w:ascii="宋体" w:hAnsi="宋体" w:eastAsia="宋体" w:cs="宋体"/>
                <w:b w:val="0"/>
                <w:bCs w:val="0"/>
                <w:i w:val="0"/>
                <w:caps w:val="0"/>
                <w:spacing w:val="0"/>
                <w:w w:val="100"/>
                <w:kern w:val="2"/>
                <w:sz w:val="24"/>
                <w:szCs w:val="24"/>
                <w:highlight w:val="none"/>
              </w:rPr>
              <w:t>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热度锌，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5</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调节底座</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40mmx100mmx150mmx2mm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rPr>
            </w:pPr>
          </w:p>
        </w:tc>
        <w:tc>
          <w:tcPr>
            <w:tcW w:w="2296"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6</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U型横支撑</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20mmx30mmx1.5mm,  长1.</w:t>
            </w:r>
            <w:r>
              <w:rPr>
                <w:rFonts w:hint="eastAsia" w:ascii="宋体" w:hAnsi="宋体" w:eastAsia="宋体" w:cs="宋体"/>
                <w:b w:val="0"/>
                <w:bCs w:val="0"/>
                <w:i w:val="0"/>
                <w:caps w:val="0"/>
                <w:spacing w:val="0"/>
                <w:w w:val="100"/>
                <w:kern w:val="2"/>
                <w:sz w:val="24"/>
                <w:szCs w:val="24"/>
                <w:highlight w:val="none"/>
                <w:lang w:val="en-US" w:eastAsia="zh-CN"/>
              </w:rPr>
              <w:t>8</w:t>
            </w:r>
            <w:r>
              <w:rPr>
                <w:rFonts w:hint="eastAsia" w:ascii="宋体" w:hAnsi="宋体" w:eastAsia="宋体" w:cs="宋体"/>
                <w:b w:val="0"/>
                <w:bCs w:val="0"/>
                <w:i w:val="0"/>
                <w:caps w:val="0"/>
                <w:spacing w:val="0"/>
                <w:w w:val="100"/>
                <w:kern w:val="2"/>
                <w:sz w:val="24"/>
                <w:szCs w:val="24"/>
                <w:highlight w:val="none"/>
              </w:rPr>
              <w:t>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镀铝锌，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7</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顶端斜撑</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20mmx1.2mm, 长2.05m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热镀锌管，</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restart"/>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8</w:t>
            </w:r>
          </w:p>
        </w:tc>
        <w:tc>
          <w:tcPr>
            <w:tcW w:w="1710" w:type="dxa"/>
            <w:vMerge w:val="restart"/>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滚轴管</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4</w:t>
            </w:r>
            <w:r>
              <w:rPr>
                <w:rFonts w:hint="eastAsia" w:ascii="宋体" w:hAnsi="宋体" w:eastAsia="宋体" w:cs="宋体"/>
                <w:b w:val="0"/>
                <w:bCs w:val="0"/>
                <w:i w:val="0"/>
                <w:caps w:val="0"/>
                <w:spacing w:val="0"/>
                <w:w w:val="100"/>
                <w:kern w:val="2"/>
                <w:sz w:val="24"/>
                <w:szCs w:val="24"/>
                <w:highlight w:val="none"/>
                <w:lang w:val="en-US" w:eastAsia="zh-CN"/>
              </w:rPr>
              <w:t>2</w:t>
            </w:r>
            <w:r>
              <w:rPr>
                <w:rFonts w:hint="eastAsia" w:ascii="宋体" w:hAnsi="宋体" w:eastAsia="宋体" w:cs="宋体"/>
                <w:b w:val="0"/>
                <w:bCs w:val="0"/>
                <w:i w:val="0"/>
                <w:caps w:val="0"/>
                <w:spacing w:val="0"/>
                <w:w w:val="100"/>
                <w:kern w:val="2"/>
                <w:sz w:val="24"/>
                <w:szCs w:val="24"/>
                <w:highlight w:val="none"/>
              </w:rPr>
              <w:t>mm  厚1.8mm   6m直口管</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rPr>
            </w:pPr>
          </w:p>
        </w:tc>
        <w:tc>
          <w:tcPr>
            <w:tcW w:w="1710" w:type="dxa"/>
            <w:vMerge w:val="continue"/>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4</w:t>
            </w:r>
            <w:r>
              <w:rPr>
                <w:rFonts w:hint="eastAsia" w:ascii="宋体" w:hAnsi="宋体" w:eastAsia="宋体" w:cs="宋体"/>
                <w:b w:val="0"/>
                <w:bCs w:val="0"/>
                <w:i w:val="0"/>
                <w:caps w:val="0"/>
                <w:spacing w:val="0"/>
                <w:w w:val="100"/>
                <w:kern w:val="2"/>
                <w:sz w:val="24"/>
                <w:szCs w:val="24"/>
                <w:highlight w:val="none"/>
                <w:lang w:val="en-US" w:eastAsia="zh-CN"/>
              </w:rPr>
              <w:t>2</w:t>
            </w:r>
            <w:r>
              <w:rPr>
                <w:rFonts w:hint="eastAsia" w:ascii="宋体" w:hAnsi="宋体" w:eastAsia="宋体" w:cs="宋体"/>
                <w:b w:val="0"/>
                <w:bCs w:val="0"/>
                <w:i w:val="0"/>
                <w:caps w:val="0"/>
                <w:spacing w:val="0"/>
                <w:w w:val="100"/>
                <w:kern w:val="2"/>
                <w:sz w:val="24"/>
                <w:szCs w:val="24"/>
                <w:highlight w:val="none"/>
              </w:rPr>
              <w:t>mm   厚1.8mm    0.3m收口管</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9</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滚轴管封堵件</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4</w:t>
            </w:r>
            <w:r>
              <w:rPr>
                <w:rFonts w:hint="eastAsia" w:ascii="宋体" w:hAnsi="宋体" w:eastAsia="宋体" w:cs="宋体"/>
                <w:b w:val="0"/>
                <w:bCs w:val="0"/>
                <w:i w:val="0"/>
                <w:caps w:val="0"/>
                <w:spacing w:val="0"/>
                <w:w w:val="100"/>
                <w:kern w:val="2"/>
                <w:sz w:val="24"/>
                <w:szCs w:val="24"/>
                <w:highlight w:val="none"/>
                <w:lang w:val="en-US" w:eastAsia="zh-CN"/>
              </w:rPr>
              <w:t>2</w:t>
            </w:r>
            <w:r>
              <w:rPr>
                <w:rFonts w:hint="eastAsia" w:ascii="宋体" w:hAnsi="宋体" w:eastAsia="宋体" w:cs="宋体"/>
                <w:b w:val="0"/>
                <w:bCs w:val="0"/>
                <w:i w:val="0"/>
                <w:caps w:val="0"/>
                <w:spacing w:val="0"/>
                <w:w w:val="100"/>
                <w:kern w:val="2"/>
                <w:sz w:val="24"/>
                <w:szCs w:val="24"/>
                <w:highlight w:val="none"/>
              </w:rPr>
              <w:t>#</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塑料件，</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10</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手轮</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220mmx42mm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塑胶件，</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11</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边框连接件</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65mmx40mmx2mm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ABS塑料件，</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12</w:t>
            </w:r>
          </w:p>
        </w:tc>
        <w:tc>
          <w:tcPr>
            <w:tcW w:w="17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防翻卡</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110mmx40mmx5mm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尼龙，</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13</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边框拐角</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65mmx20mmx2mm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ABS塑料件，</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14</w:t>
            </w:r>
          </w:p>
        </w:tc>
        <w:tc>
          <w:tcPr>
            <w:tcW w:w="17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lang w:eastAsia="zh-CN"/>
              </w:rPr>
              <w:t>连接</w:t>
            </w:r>
            <w:r>
              <w:rPr>
                <w:rFonts w:hint="eastAsia" w:ascii="宋体" w:hAnsi="宋体" w:eastAsia="宋体" w:cs="宋体"/>
                <w:b w:val="0"/>
                <w:bCs w:val="0"/>
                <w:i w:val="0"/>
                <w:caps w:val="0"/>
                <w:spacing w:val="0"/>
                <w:w w:val="100"/>
                <w:kern w:val="2"/>
                <w:sz w:val="24"/>
                <w:szCs w:val="24"/>
                <w:highlight w:val="none"/>
              </w:rPr>
              <w:t>钻尾丝</w:t>
            </w:r>
          </w:p>
        </w:tc>
        <w:tc>
          <w:tcPr>
            <w:tcW w:w="3810" w:type="dxa"/>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rPr>
            </w:pPr>
            <w:r>
              <w:rPr>
                <w:rFonts w:hint="eastAsia" w:ascii="宋体" w:hAnsi="宋体" w:eastAsia="宋体" w:cs="宋体"/>
                <w:b w:val="0"/>
                <w:bCs w:val="0"/>
                <w:i w:val="0"/>
                <w:caps w:val="0"/>
                <w:spacing w:val="0"/>
                <w:w w:val="100"/>
                <w:kern w:val="2"/>
                <w:sz w:val="24"/>
                <w:szCs w:val="24"/>
                <w:highlight w:val="none"/>
              </w:rPr>
              <w:t>25mmx5mm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15</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底座固定螺丝</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rPr>
              <w:t>10mmx60mm</w:t>
            </w:r>
          </w:p>
        </w:tc>
        <w:tc>
          <w:tcPr>
            <w:tcW w:w="1239"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val="en-US" w:eastAsia="zh-CN" w:bidi="ar-SA"/>
              </w:rPr>
              <w:t>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20" w:type="dxa"/>
          </w:tcPr>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val="en-US" w:eastAsia="zh-CN"/>
              </w:rPr>
              <w:t>16</w:t>
            </w:r>
          </w:p>
        </w:tc>
        <w:tc>
          <w:tcPr>
            <w:tcW w:w="17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底座连接螺丝</w:t>
            </w:r>
          </w:p>
        </w:tc>
        <w:tc>
          <w:tcPr>
            <w:tcW w:w="3810" w:type="dxa"/>
            <w:vAlign w:val="top"/>
          </w:tcPr>
          <w:p>
            <w:pPr>
              <w:snapToGrid/>
              <w:spacing w:before="0" w:beforeAutospacing="0" w:after="0" w:afterAutospacing="0" w:line="240" w:lineRule="auto"/>
              <w:jc w:val="left"/>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rPr>
              <w:t>8</w:t>
            </w:r>
            <w:r>
              <w:rPr>
                <w:rFonts w:hint="eastAsia" w:ascii="宋体" w:hAnsi="宋体" w:eastAsia="宋体" w:cs="宋体"/>
                <w:b w:val="0"/>
                <w:bCs w:val="0"/>
                <w:i w:val="0"/>
                <w:caps w:val="0"/>
                <w:spacing w:val="0"/>
                <w:w w:val="100"/>
                <w:kern w:val="2"/>
                <w:sz w:val="24"/>
                <w:szCs w:val="24"/>
                <w:highlight w:val="none"/>
                <w:lang w:val="en-US" w:eastAsia="zh-CN"/>
              </w:rPr>
              <w:t>0</w:t>
            </w:r>
            <w:r>
              <w:rPr>
                <w:rFonts w:hint="eastAsia" w:ascii="宋体" w:hAnsi="宋体" w:eastAsia="宋体" w:cs="宋体"/>
                <w:b w:val="0"/>
                <w:bCs w:val="0"/>
                <w:i w:val="0"/>
                <w:caps w:val="0"/>
                <w:spacing w:val="0"/>
                <w:w w:val="100"/>
                <w:kern w:val="2"/>
                <w:sz w:val="24"/>
                <w:szCs w:val="24"/>
                <w:highlight w:val="none"/>
              </w:rPr>
              <w:t>mmx6</w:t>
            </w:r>
            <w:r>
              <w:rPr>
                <w:rFonts w:hint="eastAsia" w:ascii="宋体" w:hAnsi="宋体" w:eastAsia="宋体" w:cs="宋体"/>
                <w:b w:val="0"/>
                <w:bCs w:val="0"/>
                <w:i w:val="0"/>
                <w:caps w:val="0"/>
                <w:spacing w:val="0"/>
                <w:w w:val="100"/>
                <w:kern w:val="2"/>
                <w:sz w:val="24"/>
                <w:szCs w:val="24"/>
                <w:highlight w:val="none"/>
                <w:lang w:val="en-US" w:eastAsia="zh-CN"/>
              </w:rPr>
              <w:t>0</w:t>
            </w:r>
            <w:r>
              <w:rPr>
                <w:rFonts w:hint="eastAsia" w:ascii="宋体" w:hAnsi="宋体" w:eastAsia="宋体" w:cs="宋体"/>
                <w:b w:val="0"/>
                <w:bCs w:val="0"/>
                <w:i w:val="0"/>
                <w:caps w:val="0"/>
                <w:spacing w:val="0"/>
                <w:w w:val="100"/>
                <w:kern w:val="2"/>
                <w:sz w:val="24"/>
                <w:szCs w:val="24"/>
                <w:highlight w:val="none"/>
              </w:rPr>
              <w:t>mm</w:t>
            </w:r>
          </w:p>
        </w:tc>
        <w:tc>
          <w:tcPr>
            <w:tcW w:w="1239" w:type="dxa"/>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p>
        </w:tc>
        <w:tc>
          <w:tcPr>
            <w:tcW w:w="2296" w:type="dxa"/>
            <w:vAlign w:val="top"/>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bidi="ar-SA"/>
              </w:rPr>
            </w:pPr>
            <w:r>
              <w:rPr>
                <w:rFonts w:hint="eastAsia" w:ascii="宋体" w:hAnsi="宋体" w:eastAsia="宋体" w:cs="宋体"/>
                <w:b w:val="0"/>
                <w:bCs w:val="0"/>
                <w:i w:val="0"/>
                <w:caps w:val="0"/>
                <w:spacing w:val="0"/>
                <w:w w:val="100"/>
                <w:kern w:val="2"/>
                <w:sz w:val="24"/>
                <w:szCs w:val="24"/>
                <w:highlight w:val="none"/>
                <w:lang w:eastAsia="zh-CN"/>
              </w:rPr>
              <w:t>热镀锌，</w:t>
            </w:r>
            <w:r>
              <w:rPr>
                <w:rFonts w:hint="eastAsia" w:ascii="宋体" w:hAnsi="宋体" w:eastAsia="宋体" w:cs="宋体"/>
                <w:b w:val="0"/>
                <w:bCs w:val="0"/>
                <w:i w:val="0"/>
                <w:caps w:val="0"/>
                <w:spacing w:val="0"/>
                <w:w w:val="100"/>
                <w:kern w:val="2"/>
                <w:sz w:val="24"/>
                <w:szCs w:val="24"/>
                <w:highlight w:val="none"/>
              </w:rPr>
              <w:t>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775" w:type="dxa"/>
            <w:gridSpan w:val="5"/>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kern w:val="2"/>
                <w:sz w:val="24"/>
                <w:szCs w:val="24"/>
                <w:highlight w:val="none"/>
                <w:lang w:val="en-US" w:eastAsia="zh-CN"/>
              </w:rPr>
            </w:pPr>
            <w:r>
              <w:rPr>
                <w:rFonts w:hint="eastAsia" w:ascii="宋体" w:hAnsi="宋体" w:eastAsia="宋体" w:cs="宋体"/>
                <w:b w:val="0"/>
                <w:bCs w:val="0"/>
                <w:i w:val="0"/>
                <w:caps w:val="0"/>
                <w:spacing w:val="0"/>
                <w:w w:val="100"/>
                <w:kern w:val="2"/>
                <w:sz w:val="24"/>
                <w:szCs w:val="24"/>
                <w:highlight w:val="none"/>
                <w:lang w:eastAsia="zh-CN"/>
              </w:rPr>
              <w:t>备注：数量</w:t>
            </w:r>
            <w:r>
              <w:rPr>
                <w:rFonts w:hint="eastAsia" w:ascii="宋体" w:hAnsi="宋体" w:eastAsia="宋体" w:cs="宋体"/>
                <w:b w:val="0"/>
                <w:bCs w:val="0"/>
                <w:i w:val="0"/>
                <w:caps w:val="0"/>
                <w:spacing w:val="0"/>
                <w:w w:val="100"/>
                <w:kern w:val="2"/>
                <w:sz w:val="24"/>
                <w:szCs w:val="24"/>
                <w:highlight w:val="none"/>
                <w:lang w:val="en-US" w:eastAsia="zh-CN"/>
              </w:rPr>
              <w:t>1500平方，</w:t>
            </w:r>
            <w:r>
              <w:rPr>
                <w:rFonts w:hint="eastAsia" w:ascii="宋体" w:hAnsi="宋体" w:eastAsia="宋体" w:cs="宋体"/>
                <w:b w:val="0"/>
                <w:bCs w:val="0"/>
                <w:i w:val="0"/>
                <w:caps w:val="0"/>
                <w:spacing w:val="0"/>
                <w:w w:val="100"/>
                <w:kern w:val="2"/>
                <w:sz w:val="24"/>
                <w:szCs w:val="24"/>
                <w:highlight w:val="none"/>
                <w:lang w:eastAsia="zh-CN"/>
              </w:rPr>
              <w:t>按平方报价。</w:t>
            </w:r>
          </w:p>
        </w:tc>
      </w:tr>
    </w:tbl>
    <w:p>
      <w:pPr>
        <w:pStyle w:val="2"/>
        <w:numPr>
          <w:ilvl w:val="0"/>
          <w:numId w:val="0"/>
        </w:numPr>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ind w:left="0" w:leftChars="0" w:firstLine="0" w:firstLineChars="0"/>
        <w:rPr>
          <w:rFonts w:hint="eastAsia" w:ascii="宋体" w:hAnsi="宋体" w:eastAsia="宋体" w:cs="宋体"/>
          <w:sz w:val="24"/>
          <w:szCs w:val="24"/>
          <w:highlight w:val="none"/>
          <w:lang w:val="en-US" w:eastAsia="zh-CN"/>
        </w:rPr>
      </w:pPr>
    </w:p>
    <w:tbl>
      <w:tblPr>
        <w:tblStyle w:val="17"/>
        <w:tblW w:w="9010" w:type="dxa"/>
        <w:tblInd w:w="93" w:type="dxa"/>
        <w:shd w:val="clear" w:color="auto" w:fill="auto"/>
        <w:tblLayout w:type="fixed"/>
        <w:tblCellMar>
          <w:top w:w="0" w:type="dxa"/>
          <w:left w:w="108" w:type="dxa"/>
          <w:bottom w:w="0" w:type="dxa"/>
          <w:right w:w="108" w:type="dxa"/>
        </w:tblCellMar>
      </w:tblPr>
      <w:tblGrid>
        <w:gridCol w:w="675"/>
        <w:gridCol w:w="1485"/>
        <w:gridCol w:w="3340"/>
        <w:gridCol w:w="1392"/>
        <w:gridCol w:w="1392"/>
        <w:gridCol w:w="726"/>
      </w:tblGrid>
      <w:tr>
        <w:tblPrEx>
          <w:shd w:val="clear" w:color="auto" w:fill="auto"/>
          <w:tblCellMar>
            <w:top w:w="0" w:type="dxa"/>
            <w:left w:w="108" w:type="dxa"/>
            <w:bottom w:w="0" w:type="dxa"/>
            <w:right w:w="108" w:type="dxa"/>
          </w:tblCellMar>
        </w:tblPrEx>
        <w:trPr>
          <w:trHeight w:val="473" w:hRule="atLeast"/>
        </w:trPr>
        <w:tc>
          <w:tcPr>
            <w:tcW w:w="90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default"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bCs/>
                <w:sz w:val="24"/>
                <w:szCs w:val="24"/>
                <w:highlight w:val="none"/>
                <w:lang w:val="en-US" w:eastAsia="zh-CN"/>
              </w:rPr>
              <w:t>二、钢支架种植架及配套设施</w:t>
            </w:r>
            <w:r>
              <w:rPr>
                <w:rFonts w:hint="eastAsia" w:cs="宋体"/>
                <w:b/>
                <w:bCs/>
                <w:sz w:val="24"/>
                <w:szCs w:val="24"/>
                <w:highlight w:val="none"/>
                <w:lang w:val="en-US" w:eastAsia="zh-CN"/>
              </w:rPr>
              <w:t xml:space="preserve"> 5套</w:t>
            </w:r>
          </w:p>
        </w:tc>
      </w:tr>
      <w:tr>
        <w:tblPrEx>
          <w:tblCellMar>
            <w:top w:w="0" w:type="dxa"/>
            <w:left w:w="108" w:type="dxa"/>
            <w:bottom w:w="0" w:type="dxa"/>
            <w:right w:w="108" w:type="dxa"/>
          </w:tblCellMar>
        </w:tblPrEx>
        <w:trPr>
          <w:trHeight w:val="62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名称</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规格型号</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单位</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数量</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62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A字架</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热镀锌3.0*3.0方管，厚1.5mm，高1.05米宽1米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1900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62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底梁连接杆</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热镀锌2.0*4.0方管，厚1.5mm</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4940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上连接杆</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热镀锌20*2 扁钢</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1140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62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插腿</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热镀锌2.5*2.5方管，厚1.5mm</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3800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种植槽</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PVC12-16-18，厚4mm</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9880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种植槽</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PVC20-20-30，厚3mm</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2470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堵头接头</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优质ABS注塑配套配件</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2850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拉钩（大）</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热镀锌10*1.5</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5700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62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隔离网（托网）</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全新5×5mm方格网网</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12350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滴灌带</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米</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12350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托果架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PVC注塑</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个</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10260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辅料配件</w:t>
            </w:r>
          </w:p>
        </w:tc>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螺丝，结构胶，管件等</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批</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r>
    </w:tbl>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tbl>
      <w:tblPr>
        <w:tblStyle w:val="1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755"/>
        <w:gridCol w:w="1720"/>
        <w:gridCol w:w="464"/>
        <w:gridCol w:w="2111"/>
        <w:gridCol w:w="795"/>
        <w:gridCol w:w="964"/>
        <w:gridCol w:w="812"/>
        <w:gridCol w:w="126"/>
        <w:gridCol w:w="1522"/>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9377" w:type="dxa"/>
            <w:gridSpan w:val="1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eastAsia" w:ascii="宋体" w:hAnsi="宋体"/>
                <w:szCs w:val="21"/>
                <w:highlight w:val="none"/>
              </w:rPr>
            </w:pPr>
            <w:r>
              <w:rPr>
                <w:rFonts w:hint="eastAsia" w:ascii="宋体" w:hAnsi="宋体" w:eastAsia="宋体" w:cs="宋体"/>
                <w:b/>
                <w:bCs/>
                <w:sz w:val="24"/>
                <w:szCs w:val="24"/>
                <w:highlight w:val="none"/>
                <w:lang w:val="en-US" w:eastAsia="zh-CN"/>
              </w:rPr>
              <w:t>三、加温锅炉及配套设施</w:t>
            </w:r>
            <w:r>
              <w:rPr>
                <w:rFonts w:hint="eastAsia" w:cs="宋体"/>
                <w:b/>
                <w:bCs/>
                <w:sz w:val="24"/>
                <w:szCs w:val="24"/>
                <w:highlight w:val="none"/>
                <w:lang w:val="en-US" w:eastAsia="zh-CN"/>
              </w:rPr>
              <w:t>（</w:t>
            </w:r>
            <w:r>
              <w:rPr>
                <w:rFonts w:hint="eastAsia" w:ascii="宋体" w:hAnsi="宋体" w:eastAsia="宋体" w:cs="宋体"/>
                <w:b/>
                <w:bCs/>
                <w:sz w:val="24"/>
                <w:szCs w:val="24"/>
                <w:highlight w:val="none"/>
                <w:lang w:val="en-US" w:eastAsia="zh-CN"/>
              </w:rPr>
              <w:t>2000平方大棚供暖所需明细）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jc w:val="center"/>
              <w:rPr>
                <w:rFonts w:ascii="宋体" w:hAnsi="宋体"/>
                <w:szCs w:val="21"/>
                <w:highlight w:val="none"/>
              </w:rPr>
            </w:pPr>
            <w:r>
              <w:rPr>
                <w:rFonts w:hint="eastAsia" w:ascii="宋体" w:hAnsi="宋体"/>
                <w:szCs w:val="21"/>
                <w:highlight w:val="none"/>
              </w:rPr>
              <w:t>序号</w:t>
            </w:r>
          </w:p>
        </w:tc>
        <w:tc>
          <w:tcPr>
            <w:tcW w:w="2184" w:type="dxa"/>
            <w:gridSpan w:val="2"/>
            <w:vAlign w:val="center"/>
          </w:tcPr>
          <w:p>
            <w:pPr>
              <w:jc w:val="center"/>
              <w:rPr>
                <w:rFonts w:ascii="宋体" w:hAnsi="宋体"/>
                <w:szCs w:val="21"/>
                <w:highlight w:val="none"/>
              </w:rPr>
            </w:pPr>
            <w:r>
              <w:rPr>
                <w:rFonts w:hint="eastAsia" w:ascii="宋体" w:hAnsi="宋体"/>
                <w:szCs w:val="21"/>
                <w:highlight w:val="none"/>
              </w:rPr>
              <w:t>名称</w:t>
            </w:r>
          </w:p>
        </w:tc>
        <w:tc>
          <w:tcPr>
            <w:tcW w:w="2906" w:type="dxa"/>
            <w:gridSpan w:val="2"/>
            <w:vAlign w:val="center"/>
          </w:tcPr>
          <w:p>
            <w:pPr>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规格型号</w:t>
            </w:r>
          </w:p>
        </w:tc>
        <w:tc>
          <w:tcPr>
            <w:tcW w:w="964" w:type="dxa"/>
            <w:vAlign w:val="center"/>
          </w:tcPr>
          <w:p>
            <w:pPr>
              <w:jc w:val="center"/>
              <w:rPr>
                <w:rFonts w:ascii="宋体" w:hAnsi="宋体"/>
                <w:szCs w:val="21"/>
                <w:highlight w:val="none"/>
              </w:rPr>
            </w:pPr>
            <w:r>
              <w:rPr>
                <w:rFonts w:hint="eastAsia" w:ascii="宋体" w:hAnsi="宋体"/>
                <w:szCs w:val="21"/>
                <w:highlight w:val="none"/>
              </w:rPr>
              <w:t>单位</w:t>
            </w:r>
          </w:p>
        </w:tc>
        <w:tc>
          <w:tcPr>
            <w:tcW w:w="938" w:type="dxa"/>
            <w:gridSpan w:val="2"/>
            <w:vAlign w:val="center"/>
          </w:tcPr>
          <w:p>
            <w:pPr>
              <w:jc w:val="center"/>
              <w:rPr>
                <w:rFonts w:ascii="宋体" w:hAnsi="宋体"/>
                <w:szCs w:val="21"/>
                <w:highlight w:val="none"/>
              </w:rPr>
            </w:pPr>
            <w:r>
              <w:rPr>
                <w:rFonts w:hint="eastAsia" w:ascii="宋体" w:hAnsi="宋体"/>
                <w:szCs w:val="21"/>
                <w:highlight w:val="none"/>
              </w:rPr>
              <w:t>数量</w:t>
            </w:r>
          </w:p>
        </w:tc>
        <w:tc>
          <w:tcPr>
            <w:tcW w:w="1522" w:type="dxa"/>
            <w:vAlign w:val="center"/>
          </w:tcPr>
          <w:p>
            <w:pPr>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一</w:t>
            </w:r>
          </w:p>
        </w:tc>
        <w:tc>
          <w:tcPr>
            <w:tcW w:w="2184"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锅炉主机</w:t>
            </w:r>
          </w:p>
        </w:tc>
        <w:tc>
          <w:tcPr>
            <w:tcW w:w="2906"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CWNS0.35-85/60-YQ</w:t>
            </w:r>
          </w:p>
        </w:tc>
        <w:tc>
          <w:tcPr>
            <w:tcW w:w="964" w:type="dxa"/>
            <w:vAlign w:val="center"/>
          </w:tcPr>
          <w:p>
            <w:pPr>
              <w:spacing w:line="300" w:lineRule="exact"/>
              <w:jc w:val="center"/>
              <w:rPr>
                <w:rFonts w:ascii="宋体" w:hAnsi="宋体"/>
                <w:szCs w:val="21"/>
                <w:highlight w:val="none"/>
              </w:rPr>
            </w:pPr>
            <w:r>
              <w:rPr>
                <w:rFonts w:hint="eastAsia" w:ascii="宋体" w:hAnsi="宋体"/>
                <w:szCs w:val="21"/>
                <w:highlight w:val="none"/>
              </w:rPr>
              <w:t>台</w:t>
            </w:r>
          </w:p>
        </w:tc>
        <w:tc>
          <w:tcPr>
            <w:tcW w:w="938"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1</w:t>
            </w:r>
          </w:p>
        </w:tc>
        <w:tc>
          <w:tcPr>
            <w:tcW w:w="1522"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二</w:t>
            </w:r>
          </w:p>
        </w:tc>
        <w:tc>
          <w:tcPr>
            <w:tcW w:w="2184" w:type="dxa"/>
            <w:gridSpan w:val="2"/>
            <w:vAlign w:val="center"/>
          </w:tcPr>
          <w:p>
            <w:pPr>
              <w:spacing w:line="300" w:lineRule="exact"/>
              <w:jc w:val="center"/>
              <w:rPr>
                <w:rFonts w:ascii="宋体" w:hAnsi="宋体"/>
                <w:szCs w:val="21"/>
                <w:highlight w:val="none"/>
              </w:rPr>
            </w:pPr>
            <w:r>
              <w:rPr>
                <w:rFonts w:hint="eastAsia" w:ascii="宋体" w:hAnsi="宋体"/>
                <w:szCs w:val="21"/>
                <w:highlight w:val="none"/>
                <w:lang w:val="en-US" w:eastAsia="zh-CN"/>
              </w:rPr>
              <w:t>天然气</w:t>
            </w:r>
            <w:r>
              <w:rPr>
                <w:rFonts w:hint="eastAsia" w:ascii="宋体" w:hAnsi="宋体"/>
                <w:szCs w:val="21"/>
                <w:highlight w:val="none"/>
              </w:rPr>
              <w:t>燃烧器</w:t>
            </w:r>
          </w:p>
        </w:tc>
        <w:tc>
          <w:tcPr>
            <w:tcW w:w="2906" w:type="dxa"/>
            <w:gridSpan w:val="2"/>
            <w:vAlign w:val="center"/>
          </w:tcPr>
          <w:p>
            <w:pPr>
              <w:jc w:val="center"/>
              <w:rPr>
                <w:rFonts w:ascii="宋体" w:hAnsi="宋体"/>
                <w:spacing w:val="-20"/>
                <w:szCs w:val="21"/>
                <w:highlight w:val="none"/>
              </w:rPr>
            </w:pPr>
          </w:p>
        </w:tc>
        <w:tc>
          <w:tcPr>
            <w:tcW w:w="964" w:type="dxa"/>
            <w:vAlign w:val="center"/>
          </w:tcPr>
          <w:p>
            <w:pPr>
              <w:spacing w:line="300" w:lineRule="exact"/>
              <w:jc w:val="center"/>
              <w:rPr>
                <w:rFonts w:ascii="宋体" w:hAnsi="宋体"/>
                <w:szCs w:val="21"/>
                <w:highlight w:val="none"/>
              </w:rPr>
            </w:pPr>
            <w:r>
              <w:rPr>
                <w:rFonts w:hint="eastAsia" w:ascii="宋体" w:hAnsi="宋体"/>
                <w:szCs w:val="21"/>
                <w:highlight w:val="none"/>
              </w:rPr>
              <w:t>台</w:t>
            </w:r>
          </w:p>
        </w:tc>
        <w:tc>
          <w:tcPr>
            <w:tcW w:w="938"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1</w:t>
            </w:r>
          </w:p>
        </w:tc>
        <w:tc>
          <w:tcPr>
            <w:tcW w:w="1522"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59" w:hRule="atLeast"/>
          <w:jc w:val="center"/>
        </w:trPr>
        <w:tc>
          <w:tcPr>
            <w:tcW w:w="863"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三</w:t>
            </w:r>
          </w:p>
        </w:tc>
        <w:tc>
          <w:tcPr>
            <w:tcW w:w="2184"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控制柜</w:t>
            </w:r>
          </w:p>
        </w:tc>
        <w:tc>
          <w:tcPr>
            <w:tcW w:w="2906" w:type="dxa"/>
            <w:gridSpan w:val="2"/>
            <w:vAlign w:val="center"/>
          </w:tcPr>
          <w:p>
            <w:pPr>
              <w:jc w:val="center"/>
              <w:rPr>
                <w:rFonts w:ascii="宋体" w:hAnsi="宋体"/>
                <w:szCs w:val="21"/>
                <w:highlight w:val="none"/>
              </w:rPr>
            </w:pPr>
          </w:p>
        </w:tc>
        <w:tc>
          <w:tcPr>
            <w:tcW w:w="964" w:type="dxa"/>
            <w:vAlign w:val="center"/>
          </w:tcPr>
          <w:p>
            <w:pPr>
              <w:spacing w:line="300" w:lineRule="exact"/>
              <w:jc w:val="center"/>
              <w:rPr>
                <w:rFonts w:ascii="宋体" w:hAnsi="宋体"/>
                <w:szCs w:val="21"/>
                <w:highlight w:val="none"/>
              </w:rPr>
            </w:pPr>
            <w:r>
              <w:rPr>
                <w:rFonts w:hint="eastAsia" w:ascii="宋体" w:hAnsi="宋体"/>
                <w:szCs w:val="21"/>
                <w:highlight w:val="none"/>
              </w:rPr>
              <w:t>台</w:t>
            </w:r>
          </w:p>
        </w:tc>
        <w:tc>
          <w:tcPr>
            <w:tcW w:w="938" w:type="dxa"/>
            <w:gridSpan w:val="2"/>
            <w:vAlign w:val="center"/>
          </w:tcPr>
          <w:p>
            <w:pPr>
              <w:spacing w:line="300" w:lineRule="exact"/>
              <w:jc w:val="center"/>
              <w:rPr>
                <w:rFonts w:ascii="宋体" w:hAnsi="宋体"/>
                <w:szCs w:val="21"/>
                <w:highlight w:val="none"/>
              </w:rPr>
            </w:pPr>
            <w:r>
              <w:rPr>
                <w:rFonts w:hint="eastAsia" w:ascii="宋体" w:hAnsi="宋体"/>
                <w:szCs w:val="21"/>
                <w:highlight w:val="none"/>
              </w:rPr>
              <w:t>1</w:t>
            </w:r>
          </w:p>
        </w:tc>
        <w:tc>
          <w:tcPr>
            <w:tcW w:w="1522"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jc w:val="center"/>
              <w:rPr>
                <w:rFonts w:ascii="宋体" w:hAnsi="宋体"/>
                <w:szCs w:val="21"/>
                <w:highlight w:val="none"/>
              </w:rPr>
            </w:pPr>
            <w:r>
              <w:rPr>
                <w:rFonts w:hint="eastAsia" w:ascii="宋体" w:hAnsi="宋体"/>
                <w:szCs w:val="21"/>
                <w:highlight w:val="none"/>
              </w:rPr>
              <w:t>四</w:t>
            </w:r>
          </w:p>
        </w:tc>
        <w:tc>
          <w:tcPr>
            <w:tcW w:w="2184" w:type="dxa"/>
            <w:gridSpan w:val="2"/>
            <w:vAlign w:val="center"/>
          </w:tcPr>
          <w:p>
            <w:pPr>
              <w:spacing w:line="300" w:lineRule="exact"/>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热水循环泵</w:t>
            </w:r>
          </w:p>
        </w:tc>
        <w:tc>
          <w:tcPr>
            <w:tcW w:w="2906" w:type="dxa"/>
            <w:gridSpan w:val="2"/>
            <w:vAlign w:val="center"/>
          </w:tcPr>
          <w:p>
            <w:pPr>
              <w:jc w:val="center"/>
              <w:rPr>
                <w:rFonts w:ascii="宋体" w:hAnsi="宋体" w:eastAsia="宋体" w:cstheme="minorBidi"/>
                <w:spacing w:val="-20"/>
                <w:kern w:val="2"/>
                <w:sz w:val="21"/>
                <w:szCs w:val="21"/>
                <w:highlight w:val="none"/>
                <w:lang w:val="en-US" w:eastAsia="zh-CN" w:bidi="ar-SA"/>
              </w:rPr>
            </w:pPr>
          </w:p>
        </w:tc>
        <w:tc>
          <w:tcPr>
            <w:tcW w:w="964" w:type="dxa"/>
            <w:vAlign w:val="center"/>
          </w:tcPr>
          <w:p>
            <w:pPr>
              <w:spacing w:line="300" w:lineRule="exact"/>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台</w:t>
            </w:r>
          </w:p>
        </w:tc>
        <w:tc>
          <w:tcPr>
            <w:tcW w:w="938" w:type="dxa"/>
            <w:gridSpan w:val="2"/>
            <w:vAlign w:val="center"/>
          </w:tcPr>
          <w:p>
            <w:pPr>
              <w:spacing w:line="300" w:lineRule="exact"/>
              <w:jc w:val="center"/>
              <w:rPr>
                <w:rFonts w:hint="eastAsia" w:ascii="宋体" w:hAnsi="宋体" w:eastAsia="宋体" w:cstheme="minorBidi"/>
                <w:kern w:val="2"/>
                <w:sz w:val="21"/>
                <w:szCs w:val="21"/>
                <w:highlight w:val="none"/>
                <w:lang w:val="en-US" w:eastAsia="zh-CN" w:bidi="ar-SA"/>
              </w:rPr>
            </w:pPr>
            <w:r>
              <w:rPr>
                <w:rFonts w:hint="eastAsia" w:ascii="宋体" w:hAnsi="宋体" w:eastAsia="宋体"/>
                <w:szCs w:val="21"/>
                <w:highlight w:val="none"/>
                <w:lang w:val="en-US" w:eastAsia="zh-CN"/>
              </w:rPr>
              <w:t>2</w:t>
            </w:r>
          </w:p>
        </w:tc>
        <w:tc>
          <w:tcPr>
            <w:tcW w:w="1522"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jc w:val="center"/>
              <w:rPr>
                <w:rFonts w:ascii="宋体" w:hAnsi="宋体"/>
                <w:szCs w:val="21"/>
                <w:highlight w:val="none"/>
              </w:rPr>
            </w:pPr>
            <w:r>
              <w:rPr>
                <w:rFonts w:hint="eastAsia" w:ascii="宋体" w:hAnsi="宋体"/>
                <w:szCs w:val="21"/>
                <w:highlight w:val="none"/>
              </w:rPr>
              <w:t>五</w:t>
            </w:r>
          </w:p>
        </w:tc>
        <w:tc>
          <w:tcPr>
            <w:tcW w:w="2184" w:type="dxa"/>
            <w:gridSpan w:val="2"/>
            <w:vAlign w:val="center"/>
          </w:tcPr>
          <w:p>
            <w:pPr>
              <w:spacing w:line="300" w:lineRule="exact"/>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补水箱</w:t>
            </w:r>
          </w:p>
        </w:tc>
        <w:tc>
          <w:tcPr>
            <w:tcW w:w="2906" w:type="dxa"/>
            <w:gridSpan w:val="2"/>
            <w:vAlign w:val="center"/>
          </w:tcPr>
          <w:p>
            <w:pPr>
              <w:spacing w:line="300" w:lineRule="exact"/>
              <w:jc w:val="center"/>
              <w:rPr>
                <w:rFonts w:hint="default" w:ascii="宋体" w:hAnsi="宋体" w:eastAsia="宋体" w:cstheme="minorBidi"/>
                <w:kern w:val="2"/>
                <w:sz w:val="21"/>
                <w:szCs w:val="21"/>
                <w:highlight w:val="none"/>
                <w:lang w:val="en-US" w:eastAsia="zh-CN" w:bidi="ar-SA"/>
              </w:rPr>
            </w:pPr>
            <w:r>
              <w:rPr>
                <w:rFonts w:hint="eastAsia" w:ascii="宋体" w:hAnsi="宋体" w:eastAsia="宋体" w:cstheme="minorBidi"/>
                <w:kern w:val="2"/>
                <w:sz w:val="21"/>
                <w:szCs w:val="21"/>
                <w:highlight w:val="none"/>
                <w:lang w:val="en-US" w:eastAsia="zh-CN" w:bidi="ar-SA"/>
              </w:rPr>
              <w:t>标配</w:t>
            </w:r>
          </w:p>
        </w:tc>
        <w:tc>
          <w:tcPr>
            <w:tcW w:w="964" w:type="dxa"/>
            <w:vAlign w:val="center"/>
          </w:tcPr>
          <w:p>
            <w:pPr>
              <w:spacing w:line="300" w:lineRule="exact"/>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台</w:t>
            </w:r>
          </w:p>
        </w:tc>
        <w:tc>
          <w:tcPr>
            <w:tcW w:w="938" w:type="dxa"/>
            <w:gridSpan w:val="2"/>
            <w:vAlign w:val="center"/>
          </w:tcPr>
          <w:p>
            <w:pPr>
              <w:spacing w:line="300" w:lineRule="exact"/>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1</w:t>
            </w:r>
          </w:p>
        </w:tc>
        <w:tc>
          <w:tcPr>
            <w:tcW w:w="1522"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jc w:val="center"/>
              <w:rPr>
                <w:rFonts w:ascii="宋体" w:hAnsi="宋体"/>
                <w:szCs w:val="21"/>
                <w:highlight w:val="none"/>
              </w:rPr>
            </w:pPr>
            <w:r>
              <w:rPr>
                <w:rFonts w:hint="eastAsia" w:ascii="宋体" w:hAnsi="宋体"/>
                <w:szCs w:val="21"/>
                <w:highlight w:val="none"/>
              </w:rPr>
              <w:t>六</w:t>
            </w:r>
          </w:p>
        </w:tc>
        <w:tc>
          <w:tcPr>
            <w:tcW w:w="2184" w:type="dxa"/>
            <w:gridSpan w:val="2"/>
            <w:vAlign w:val="center"/>
          </w:tcPr>
          <w:p>
            <w:pPr>
              <w:spacing w:line="300" w:lineRule="exact"/>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烟囱</w:t>
            </w:r>
          </w:p>
        </w:tc>
        <w:tc>
          <w:tcPr>
            <w:tcW w:w="2906" w:type="dxa"/>
            <w:gridSpan w:val="2"/>
            <w:vAlign w:val="center"/>
          </w:tcPr>
          <w:p>
            <w:pPr>
              <w:spacing w:line="300" w:lineRule="exact"/>
              <w:jc w:val="center"/>
              <w:rPr>
                <w:rFonts w:ascii="宋体" w:hAnsi="宋体" w:eastAsia="宋体" w:cstheme="minorBidi"/>
                <w:kern w:val="2"/>
                <w:sz w:val="21"/>
                <w:szCs w:val="21"/>
                <w:highlight w:val="none"/>
                <w:lang w:val="en-US" w:eastAsia="zh-CN" w:bidi="ar-SA"/>
              </w:rPr>
            </w:pPr>
          </w:p>
        </w:tc>
        <w:tc>
          <w:tcPr>
            <w:tcW w:w="964" w:type="dxa"/>
            <w:vAlign w:val="center"/>
          </w:tcPr>
          <w:p>
            <w:pPr>
              <w:spacing w:line="300" w:lineRule="exact"/>
              <w:jc w:val="center"/>
              <w:rPr>
                <w:rFonts w:hint="default" w:ascii="宋体" w:hAnsi="宋体" w:eastAsia="宋体" w:cstheme="minorBidi"/>
                <w:kern w:val="2"/>
                <w:sz w:val="21"/>
                <w:szCs w:val="21"/>
                <w:highlight w:val="none"/>
                <w:lang w:val="en-US" w:eastAsia="zh-CN" w:bidi="ar-SA"/>
              </w:rPr>
            </w:pPr>
            <w:r>
              <w:rPr>
                <w:rFonts w:hint="eastAsia" w:ascii="宋体" w:hAnsi="宋体" w:eastAsia="宋体" w:cstheme="minorBidi"/>
                <w:kern w:val="2"/>
                <w:sz w:val="21"/>
                <w:szCs w:val="21"/>
                <w:highlight w:val="none"/>
                <w:lang w:val="en-US" w:eastAsia="zh-CN" w:bidi="ar-SA"/>
              </w:rPr>
              <w:t>套</w:t>
            </w:r>
          </w:p>
        </w:tc>
        <w:tc>
          <w:tcPr>
            <w:tcW w:w="938" w:type="dxa"/>
            <w:gridSpan w:val="2"/>
            <w:vAlign w:val="center"/>
          </w:tcPr>
          <w:p>
            <w:pPr>
              <w:spacing w:line="300" w:lineRule="exact"/>
              <w:jc w:val="center"/>
              <w:rPr>
                <w:rFonts w:hint="default" w:ascii="宋体" w:hAnsi="宋体" w:eastAsia="宋体" w:cstheme="minorBidi"/>
                <w:kern w:val="2"/>
                <w:sz w:val="21"/>
                <w:szCs w:val="21"/>
                <w:highlight w:val="none"/>
                <w:lang w:val="en-US" w:eastAsia="zh-CN" w:bidi="ar-SA"/>
              </w:rPr>
            </w:pPr>
            <w:r>
              <w:rPr>
                <w:rFonts w:hint="eastAsia" w:ascii="宋体" w:hAnsi="宋体" w:eastAsia="宋体" w:cstheme="minorBidi"/>
                <w:kern w:val="2"/>
                <w:sz w:val="21"/>
                <w:szCs w:val="21"/>
                <w:highlight w:val="none"/>
                <w:lang w:val="en-US" w:eastAsia="zh-CN" w:bidi="ar-SA"/>
              </w:rPr>
              <w:t>1</w:t>
            </w:r>
          </w:p>
        </w:tc>
        <w:tc>
          <w:tcPr>
            <w:tcW w:w="1522"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jc w:val="center"/>
              <w:rPr>
                <w:rFonts w:ascii="宋体" w:hAnsi="宋体" w:eastAsiaTheme="minorEastAsia" w:cstheme="minorBidi"/>
                <w:kern w:val="2"/>
                <w:sz w:val="21"/>
                <w:szCs w:val="21"/>
                <w:highlight w:val="none"/>
                <w:lang w:val="en-US" w:eastAsia="zh-CN" w:bidi="ar-SA"/>
              </w:rPr>
            </w:pPr>
            <w:r>
              <w:rPr>
                <w:rFonts w:hint="eastAsia" w:ascii="宋体" w:hAnsi="宋体"/>
                <w:szCs w:val="21"/>
                <w:highlight w:val="none"/>
              </w:rPr>
              <w:t>七</w:t>
            </w:r>
          </w:p>
        </w:tc>
        <w:tc>
          <w:tcPr>
            <w:tcW w:w="5090" w:type="dxa"/>
            <w:gridSpan w:val="4"/>
            <w:vAlign w:val="center"/>
          </w:tcPr>
          <w:p>
            <w:pPr>
              <w:jc w:val="center"/>
              <w:rPr>
                <w:rFonts w:ascii="宋体" w:hAnsi="宋体"/>
                <w:szCs w:val="21"/>
                <w:highlight w:val="none"/>
              </w:rPr>
            </w:pPr>
            <w:r>
              <w:rPr>
                <w:rFonts w:hint="eastAsia" w:ascii="宋体" w:hAnsi="宋体"/>
                <w:szCs w:val="21"/>
                <w:highlight w:val="none"/>
              </w:rPr>
              <w:t>本体配套阀门/仪表</w:t>
            </w:r>
          </w:p>
        </w:tc>
        <w:tc>
          <w:tcPr>
            <w:tcW w:w="964" w:type="dxa"/>
            <w:vAlign w:val="center"/>
          </w:tcPr>
          <w:p>
            <w:pPr>
              <w:jc w:val="center"/>
              <w:rPr>
                <w:rFonts w:ascii="宋体" w:hAnsi="宋体"/>
                <w:szCs w:val="21"/>
                <w:highlight w:val="none"/>
              </w:rPr>
            </w:pPr>
            <w:r>
              <w:rPr>
                <w:rFonts w:hint="eastAsia" w:ascii="宋体" w:hAnsi="宋体"/>
                <w:szCs w:val="21"/>
                <w:highlight w:val="none"/>
              </w:rPr>
              <w:t>套</w:t>
            </w:r>
          </w:p>
        </w:tc>
        <w:tc>
          <w:tcPr>
            <w:tcW w:w="938" w:type="dxa"/>
            <w:gridSpan w:val="2"/>
            <w:vAlign w:val="center"/>
          </w:tcPr>
          <w:p>
            <w:pPr>
              <w:jc w:val="center"/>
              <w:rPr>
                <w:rFonts w:ascii="宋体" w:hAnsi="宋体"/>
                <w:szCs w:val="21"/>
                <w:highlight w:val="none"/>
              </w:rPr>
            </w:pPr>
            <w:r>
              <w:rPr>
                <w:rFonts w:hint="eastAsia" w:ascii="宋体" w:hAnsi="宋体"/>
                <w:szCs w:val="21"/>
                <w:highlight w:val="none"/>
              </w:rPr>
              <w:t>1</w:t>
            </w:r>
          </w:p>
        </w:tc>
        <w:tc>
          <w:tcPr>
            <w:tcW w:w="1522" w:type="dxa"/>
            <w:vAlign w:val="center"/>
          </w:tcPr>
          <w:p>
            <w:pPr>
              <w:ind w:firstLine="110" w:firstLineChars="5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8" w:hRule="atLeast"/>
          <w:jc w:val="center"/>
        </w:trPr>
        <w:tc>
          <w:tcPr>
            <w:tcW w:w="863" w:type="dxa"/>
            <w:gridSpan w:val="2"/>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rPr>
              <w:t>八</w:t>
            </w:r>
          </w:p>
        </w:tc>
        <w:tc>
          <w:tcPr>
            <w:tcW w:w="5090" w:type="dxa"/>
            <w:gridSpan w:val="4"/>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lang w:val="en-US" w:eastAsia="zh-CN"/>
              </w:rPr>
              <w:t>供暖设备及配套管件</w:t>
            </w:r>
          </w:p>
        </w:tc>
        <w:tc>
          <w:tcPr>
            <w:tcW w:w="964" w:type="dxa"/>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rPr>
              <w:t>套</w:t>
            </w:r>
          </w:p>
        </w:tc>
        <w:tc>
          <w:tcPr>
            <w:tcW w:w="938" w:type="dxa"/>
            <w:gridSpan w:val="2"/>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rPr>
              <w:t>1</w:t>
            </w:r>
          </w:p>
        </w:tc>
        <w:tc>
          <w:tcPr>
            <w:tcW w:w="1522" w:type="dxa"/>
            <w:vAlign w:val="center"/>
          </w:tcPr>
          <w:p>
            <w:pPr>
              <w:ind w:firstLine="110" w:firstLineChars="5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58" w:hRule="atLeast"/>
          <w:jc w:val="center"/>
        </w:trPr>
        <w:tc>
          <w:tcPr>
            <w:tcW w:w="863" w:type="dxa"/>
            <w:gridSpan w:val="2"/>
            <w:vAlign w:val="center"/>
          </w:tcPr>
          <w:p>
            <w:pPr>
              <w:spacing w:line="300" w:lineRule="exact"/>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rPr>
              <w:t>九</w:t>
            </w:r>
          </w:p>
        </w:tc>
        <w:tc>
          <w:tcPr>
            <w:tcW w:w="5090" w:type="dxa"/>
            <w:gridSpan w:val="4"/>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eastAsiaTheme="minorEastAsia"/>
                <w:szCs w:val="21"/>
                <w:highlight w:val="none"/>
                <w:lang w:eastAsia="zh-CN"/>
              </w:rPr>
              <w:t>其他相关材料配件</w:t>
            </w:r>
          </w:p>
        </w:tc>
        <w:tc>
          <w:tcPr>
            <w:tcW w:w="964" w:type="dxa"/>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rPr>
              <w:t>套</w:t>
            </w:r>
          </w:p>
        </w:tc>
        <w:tc>
          <w:tcPr>
            <w:tcW w:w="938" w:type="dxa"/>
            <w:gridSpan w:val="2"/>
            <w:vAlign w:val="center"/>
          </w:tcPr>
          <w:p>
            <w:pPr>
              <w:jc w:val="center"/>
              <w:rPr>
                <w:rFonts w:hint="eastAsia" w:ascii="宋体" w:hAnsi="宋体" w:eastAsiaTheme="minorEastAsia" w:cstheme="minorBidi"/>
                <w:kern w:val="2"/>
                <w:sz w:val="21"/>
                <w:szCs w:val="21"/>
                <w:highlight w:val="none"/>
                <w:lang w:val="en-US" w:eastAsia="zh-CN" w:bidi="ar-SA"/>
              </w:rPr>
            </w:pPr>
            <w:r>
              <w:rPr>
                <w:rFonts w:hint="eastAsia" w:ascii="宋体" w:hAnsi="宋体"/>
                <w:szCs w:val="21"/>
                <w:highlight w:val="none"/>
              </w:rPr>
              <w:t>1</w:t>
            </w:r>
          </w:p>
        </w:tc>
        <w:tc>
          <w:tcPr>
            <w:tcW w:w="1522" w:type="dxa"/>
            <w:vAlign w:val="center"/>
          </w:tcPr>
          <w:p>
            <w:pPr>
              <w:ind w:firstLine="110" w:firstLineChars="50"/>
              <w:jc w:val="center"/>
              <w:rPr>
                <w:rFonts w:ascii="宋体" w:hAnsi="宋体"/>
                <w:szCs w:val="21"/>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3" w:type="dxa"/>
          <w:trHeight w:val="334" w:hRule="atLeast"/>
          <w:jc w:val="center"/>
        </w:trPr>
        <w:tc>
          <w:tcPr>
            <w:tcW w:w="9377" w:type="dxa"/>
            <w:gridSpan w:val="10"/>
            <w:noWrap w:val="0"/>
            <w:vAlign w:val="center"/>
          </w:tcPr>
          <w:p>
            <w:pPr>
              <w:tabs>
                <w:tab w:val="left" w:pos="228"/>
              </w:tabs>
              <w:ind w:firstLine="680"/>
              <w:jc w:val="center"/>
              <w:rPr>
                <w:rFonts w:eastAsia="宋体"/>
                <w:color w:val="000000"/>
                <w:highlight w:val="none"/>
              </w:rPr>
            </w:pPr>
            <w:r>
              <w:rPr>
                <w:rFonts w:hint="eastAsia" w:ascii="宋体" w:hAnsi="宋体" w:cs="宋体"/>
                <w:b/>
                <w:bCs/>
                <w:color w:val="000000"/>
                <w:sz w:val="24"/>
                <w:szCs w:val="24"/>
                <w:highlight w:val="none"/>
              </w:rPr>
              <w:t>CWNS0.35-85/60-YQ主机技术参数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3" w:type="dxa"/>
          <w:trHeight w:val="334" w:hRule="atLeast"/>
          <w:jc w:val="center"/>
        </w:trPr>
        <w:tc>
          <w:tcPr>
            <w:tcW w:w="5158" w:type="dxa"/>
            <w:gridSpan w:val="5"/>
            <w:noWrap w:val="0"/>
            <w:vAlign w:val="center"/>
          </w:tcPr>
          <w:p>
            <w:pPr>
              <w:pStyle w:val="14"/>
              <w:jc w:val="center"/>
              <w:rPr>
                <w:rFonts w:ascii="Tahoma" w:hAnsi="Tahoma" w:eastAsia="Tahoma" w:cs="Tahoma"/>
                <w:color w:val="000000"/>
                <w:highlight w:val="none"/>
              </w:rPr>
            </w:pPr>
            <w:r>
              <w:rPr>
                <w:rFonts w:hint="eastAsia" w:ascii="Tahoma" w:hAnsi="Tahoma" w:eastAsia="Tahoma" w:cs="Tahoma"/>
                <w:color w:val="000000"/>
                <w:highlight w:val="none"/>
              </w:rPr>
              <w:t>型号</w:t>
            </w:r>
          </w:p>
        </w:tc>
        <w:tc>
          <w:tcPr>
            <w:tcW w:w="4219" w:type="dxa"/>
            <w:gridSpan w:val="5"/>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C</w:t>
            </w:r>
            <w:r>
              <w:rPr>
                <w:rFonts w:ascii="Tahoma" w:hAnsi="Tahoma" w:eastAsia="Tahoma" w:cs="Tahoma"/>
                <w:color w:val="000000"/>
                <w:highlight w:val="none"/>
              </w:rPr>
              <w:t>WNS</w:t>
            </w:r>
            <w:r>
              <w:rPr>
                <w:rFonts w:hint="eastAsia" w:ascii="Tahoma" w:hAnsi="Tahoma" w:cs="Tahoma"/>
                <w:color w:val="000000"/>
                <w:highlight w:val="none"/>
              </w:rPr>
              <w:t>0.35-85/60-YQ</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tcBorders>
              <w:bottom w:val="single" w:color="auto" w:sz="4" w:space="0"/>
            </w:tcBorders>
            <w:noWrap w:val="0"/>
            <w:vAlign w:val="center"/>
          </w:tcPr>
          <w:p>
            <w:pPr>
              <w:pStyle w:val="14"/>
              <w:jc w:val="center"/>
              <w:rPr>
                <w:rFonts w:ascii="Tahoma" w:hAnsi="Tahoma" w:eastAsia="Tahoma" w:cs="Tahoma"/>
                <w:color w:val="000000"/>
                <w:highlight w:val="none"/>
              </w:rPr>
            </w:pPr>
            <w:r>
              <w:rPr>
                <w:rFonts w:ascii="Tahoma" w:hAnsi="Tahoma" w:eastAsia="Tahoma" w:cs="Tahoma"/>
                <w:color w:val="000000"/>
                <w:highlight w:val="none"/>
              </w:rPr>
              <w:t>额定</w:t>
            </w:r>
            <w:r>
              <w:rPr>
                <w:rFonts w:hint="eastAsia" w:ascii="Tahoma" w:hAnsi="Tahoma" w:cs="Tahoma"/>
                <w:color w:val="000000"/>
                <w:highlight w:val="none"/>
              </w:rPr>
              <w:t>发热量KW</w:t>
            </w:r>
            <w:r>
              <w:rPr>
                <w:rFonts w:ascii="Tahoma" w:hAnsi="Tahoma" w:eastAsia="Tahoma" w:cs="Tahoma"/>
                <w:color w:val="000000"/>
                <w:highlight w:val="none"/>
              </w:rPr>
              <w:t>/h</w:t>
            </w:r>
          </w:p>
        </w:tc>
        <w:tc>
          <w:tcPr>
            <w:tcW w:w="4222" w:type="dxa"/>
            <w:gridSpan w:val="6"/>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hint="eastAsia" w:ascii="Tahoma" w:hAnsi="Tahoma" w:cs="Tahoma"/>
                <w:color w:val="000000"/>
                <w:highlight w:val="none"/>
              </w:rPr>
              <w:t>工作</w:t>
            </w:r>
            <w:r>
              <w:rPr>
                <w:rFonts w:ascii="Tahoma" w:hAnsi="Tahoma" w:eastAsia="Tahoma" w:cs="Tahoma"/>
                <w:color w:val="000000"/>
                <w:highlight w:val="none"/>
              </w:rPr>
              <w:t>压力</w:t>
            </w:r>
            <w:r>
              <w:rPr>
                <w:rFonts w:hint="eastAsia" w:ascii="Tahoma" w:hAnsi="Tahoma" w:cs="Tahoma"/>
                <w:color w:val="000000"/>
                <w:highlight w:val="none"/>
              </w:rPr>
              <w:t>/</w:t>
            </w:r>
            <w:r>
              <w:rPr>
                <w:rFonts w:ascii="Tahoma" w:hAnsi="Tahoma" w:eastAsia="Tahoma" w:cs="Tahoma"/>
                <w:color w:val="000000"/>
                <w:highlight w:val="none"/>
              </w:rPr>
              <w:t>MPa</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常压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hint="eastAsia" w:ascii="Tahoma" w:hAnsi="Tahoma" w:cs="Tahoma"/>
                <w:color w:val="000000"/>
                <w:highlight w:val="none"/>
              </w:rPr>
              <w:t>出水</w:t>
            </w:r>
            <w:r>
              <w:rPr>
                <w:rFonts w:ascii="Tahoma" w:hAnsi="Tahoma" w:eastAsia="Tahoma" w:cs="Tahoma"/>
                <w:color w:val="000000"/>
                <w:highlight w:val="none"/>
              </w:rPr>
              <w:t>温度</w:t>
            </w:r>
            <w:r>
              <w:rPr>
                <w:rFonts w:hint="eastAsia" w:ascii="Tahoma" w:hAnsi="Tahoma" w:cs="Tahoma"/>
                <w:color w:val="000000"/>
                <w:highlight w:val="none"/>
              </w:rPr>
              <w:t>/</w:t>
            </w:r>
            <w:r>
              <w:rPr>
                <w:rFonts w:ascii="Tahoma" w:hAnsi="Tahoma" w:eastAsia="Tahoma" w:cs="Tahoma"/>
                <w:color w:val="000000"/>
                <w:highlight w:val="none"/>
              </w:rPr>
              <w:t>°C</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hint="eastAsia" w:ascii="Tahoma" w:hAnsi="Tahoma" w:cs="Tahoma"/>
                <w:color w:val="000000"/>
                <w:highlight w:val="none"/>
              </w:rPr>
              <w:t>回水</w:t>
            </w:r>
            <w:r>
              <w:rPr>
                <w:rFonts w:ascii="Tahoma" w:hAnsi="Tahoma" w:eastAsia="Tahoma" w:cs="Tahoma"/>
                <w:color w:val="000000"/>
                <w:highlight w:val="none"/>
              </w:rPr>
              <w:t>温度</w:t>
            </w:r>
            <w:r>
              <w:rPr>
                <w:rFonts w:hint="eastAsia" w:ascii="Tahoma" w:hAnsi="Tahoma" w:cs="Tahoma"/>
                <w:color w:val="000000"/>
                <w:highlight w:val="none"/>
              </w:rPr>
              <w:t>/</w:t>
            </w:r>
            <w:r>
              <w:rPr>
                <w:rFonts w:ascii="Tahoma" w:hAnsi="Tahoma" w:eastAsia="Tahoma" w:cs="Tahoma"/>
                <w:color w:val="000000"/>
                <w:highlight w:val="none"/>
              </w:rPr>
              <w:t>°C</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传热面积</w:t>
            </w:r>
            <w:r>
              <w:rPr>
                <w:rFonts w:hint="eastAsia" w:ascii="Tahoma" w:hAnsi="Tahoma" w:cs="Tahoma"/>
                <w:color w:val="000000"/>
                <w:highlight w:val="none"/>
              </w:rPr>
              <w:t>/</w:t>
            </w:r>
            <w:r>
              <w:rPr>
                <w:rFonts w:ascii="Tahoma" w:hAnsi="Tahoma" w:eastAsia="Tahoma" w:cs="Tahoma"/>
                <w:color w:val="000000"/>
                <w:highlight w:val="none"/>
              </w:rPr>
              <w:t>m2</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15.2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测试热效率</w:t>
            </w:r>
          </w:p>
        </w:tc>
        <w:tc>
          <w:tcPr>
            <w:tcW w:w="4222" w:type="dxa"/>
            <w:gridSpan w:val="6"/>
            <w:noWrap w:val="0"/>
            <w:vAlign w:val="center"/>
          </w:tcPr>
          <w:p>
            <w:pPr>
              <w:pStyle w:val="14"/>
              <w:jc w:val="center"/>
              <w:rPr>
                <w:color w:val="000000"/>
                <w:highlight w:val="none"/>
              </w:rPr>
            </w:pPr>
            <w:r>
              <w:rPr>
                <w:rFonts w:ascii="Tahoma" w:hAnsi="Tahoma" w:eastAsia="Tahoma" w:cs="Tahoma"/>
                <w:color w:val="000000"/>
                <w:highlight w:val="none"/>
              </w:rPr>
              <w:t>≥9</w:t>
            </w:r>
            <w:r>
              <w:rPr>
                <w:rFonts w:hint="eastAsia" w:ascii="Tahoma" w:hAnsi="Tahoma" w:cs="Tahoma"/>
                <w:color w:val="000000"/>
                <w:highlight w:val="none"/>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水试验压力</w:t>
            </w:r>
            <w:r>
              <w:rPr>
                <w:rFonts w:hint="eastAsia" w:ascii="Tahoma" w:hAnsi="Tahoma" w:cs="Tahoma"/>
                <w:color w:val="000000"/>
                <w:highlight w:val="none"/>
              </w:rPr>
              <w:t>/</w:t>
            </w:r>
            <w:r>
              <w:rPr>
                <w:rFonts w:ascii="Tahoma" w:hAnsi="Tahoma" w:eastAsia="Tahoma" w:cs="Tahoma"/>
                <w:color w:val="000000"/>
                <w:highlight w:val="none"/>
              </w:rPr>
              <w:t>MPa</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hint="eastAsia" w:ascii="Tahoma" w:hAnsi="Tahoma" w:cs="Tahoma"/>
                <w:color w:val="000000"/>
                <w:highlight w:val="none"/>
              </w:rPr>
              <w:t>大件运输重量/</w:t>
            </w:r>
            <w:r>
              <w:rPr>
                <w:rFonts w:ascii="Tahoma" w:hAnsi="Tahoma" w:eastAsia="Tahoma" w:cs="Tahoma"/>
                <w:color w:val="000000"/>
                <w:highlight w:val="none"/>
              </w:rPr>
              <w:t>T</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水容量</w:t>
            </w:r>
            <w:r>
              <w:rPr>
                <w:rFonts w:hint="eastAsia" w:ascii="Tahoma" w:hAnsi="Tahoma" w:cs="Tahoma"/>
                <w:color w:val="000000"/>
                <w:highlight w:val="none"/>
              </w:rPr>
              <w:t>/T</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1.15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654" w:hRule="atLeast"/>
          <w:jc w:val="center"/>
        </w:trPr>
        <w:tc>
          <w:tcPr>
            <w:tcW w:w="2475" w:type="dxa"/>
            <w:gridSpan w:val="2"/>
            <w:vMerge w:val="restart"/>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设计燃料</w:t>
            </w:r>
          </w:p>
        </w:tc>
        <w:tc>
          <w:tcPr>
            <w:tcW w:w="2575" w:type="dxa"/>
            <w:gridSpan w:val="2"/>
            <w:tcBorders>
              <w:right w:val="single" w:color="auto" w:sz="4" w:space="0"/>
            </w:tcBorders>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天然气</w:t>
            </w:r>
          </w:p>
        </w:tc>
        <w:tc>
          <w:tcPr>
            <w:tcW w:w="4222" w:type="dxa"/>
            <w:gridSpan w:val="6"/>
            <w:tcBorders>
              <w:left w:val="single" w:color="auto" w:sz="4" w:space="0"/>
            </w:tcBorders>
            <w:noWrap w:val="0"/>
            <w:vAlign w:val="center"/>
          </w:tcPr>
          <w:p>
            <w:pPr>
              <w:pStyle w:val="14"/>
              <w:jc w:val="center"/>
              <w:rPr>
                <w:rFonts w:ascii="Tahoma" w:hAnsi="Tahoma" w:cs="Tahoma"/>
                <w:color w:val="000000"/>
                <w:highlight w:val="none"/>
              </w:rPr>
            </w:pPr>
            <w:r>
              <w:rPr>
                <w:rFonts w:hint="eastAsia" w:ascii="新宋体" w:hAnsi="新宋体" w:eastAsia="新宋体" w:cs="新宋体"/>
                <w:color w:val="000000"/>
                <w:sz w:val="28"/>
                <w:szCs w:val="28"/>
                <w:highlight w:val="none"/>
              </w:rPr>
              <w:t>Q</w:t>
            </w:r>
            <w:r>
              <w:rPr>
                <w:rFonts w:hint="eastAsia" w:ascii="新宋体" w:hAnsi="新宋体" w:eastAsia="新宋体" w:cs="新宋体"/>
                <w:color w:val="000000"/>
                <w:sz w:val="28"/>
                <w:szCs w:val="28"/>
                <w:highlight w:val="none"/>
                <w:vertAlign w:val="superscript"/>
              </w:rPr>
              <w:t>y</w:t>
            </w:r>
            <w:r>
              <w:rPr>
                <w:rFonts w:hint="eastAsia" w:ascii="新宋体" w:hAnsi="新宋体" w:eastAsia="新宋体" w:cs="新宋体"/>
                <w:color w:val="000000"/>
                <w:sz w:val="28"/>
                <w:szCs w:val="28"/>
                <w:highlight w:val="none"/>
                <w:vertAlign w:val="subscript"/>
              </w:rPr>
              <w:t>dw</w:t>
            </w:r>
            <w:r>
              <w:rPr>
                <w:rFonts w:hint="eastAsia" w:ascii="新宋体" w:hAnsi="新宋体" w:eastAsia="新宋体" w:cs="新宋体"/>
                <w:color w:val="000000"/>
                <w:highlight w:val="none"/>
              </w:rPr>
              <w:t>=8550kcal/kg=35.8MJ/kg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654" w:hRule="atLeast"/>
          <w:jc w:val="center"/>
        </w:trPr>
        <w:tc>
          <w:tcPr>
            <w:tcW w:w="2475" w:type="dxa"/>
            <w:gridSpan w:val="2"/>
            <w:vMerge w:val="continue"/>
            <w:noWrap w:val="0"/>
            <w:vAlign w:val="center"/>
          </w:tcPr>
          <w:p>
            <w:pPr>
              <w:pStyle w:val="14"/>
              <w:jc w:val="center"/>
              <w:rPr>
                <w:rFonts w:ascii="Tahoma" w:hAnsi="Tahoma" w:cs="Tahoma"/>
                <w:color w:val="000000"/>
                <w:highlight w:val="none"/>
              </w:rPr>
            </w:pPr>
          </w:p>
        </w:tc>
        <w:tc>
          <w:tcPr>
            <w:tcW w:w="2575" w:type="dxa"/>
            <w:gridSpan w:val="2"/>
            <w:tcBorders>
              <w:right w:val="single" w:color="auto" w:sz="4" w:space="0"/>
            </w:tcBorders>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轻油</w:t>
            </w:r>
          </w:p>
        </w:tc>
        <w:tc>
          <w:tcPr>
            <w:tcW w:w="4222" w:type="dxa"/>
            <w:gridSpan w:val="6"/>
            <w:tcBorders>
              <w:left w:val="single" w:color="auto" w:sz="4" w:space="0"/>
            </w:tcBorders>
            <w:noWrap w:val="0"/>
            <w:vAlign w:val="center"/>
          </w:tcPr>
          <w:p>
            <w:pPr>
              <w:pStyle w:val="14"/>
              <w:jc w:val="center"/>
              <w:rPr>
                <w:rFonts w:ascii="Tahoma" w:hAnsi="Tahoma" w:cs="Tahoma"/>
                <w:color w:val="000000"/>
                <w:highlight w:val="none"/>
              </w:rPr>
            </w:pPr>
            <w:r>
              <w:rPr>
                <w:rFonts w:hint="eastAsia" w:ascii="新宋体" w:hAnsi="新宋体" w:eastAsia="新宋体" w:cs="新宋体"/>
                <w:color w:val="000000"/>
                <w:sz w:val="28"/>
                <w:szCs w:val="28"/>
                <w:highlight w:val="none"/>
              </w:rPr>
              <w:t>Q</w:t>
            </w:r>
            <w:r>
              <w:rPr>
                <w:rFonts w:hint="eastAsia" w:ascii="新宋体" w:hAnsi="新宋体" w:eastAsia="新宋体" w:cs="新宋体"/>
                <w:color w:val="000000"/>
                <w:sz w:val="28"/>
                <w:szCs w:val="28"/>
                <w:highlight w:val="none"/>
                <w:vertAlign w:val="superscript"/>
              </w:rPr>
              <w:t>y</w:t>
            </w:r>
            <w:r>
              <w:rPr>
                <w:rFonts w:hint="eastAsia" w:ascii="新宋体" w:hAnsi="新宋体" w:eastAsia="新宋体" w:cs="新宋体"/>
                <w:color w:val="000000"/>
                <w:sz w:val="28"/>
                <w:szCs w:val="28"/>
                <w:highlight w:val="none"/>
                <w:vertAlign w:val="subscript"/>
              </w:rPr>
              <w:t>dw</w:t>
            </w:r>
            <w:r>
              <w:rPr>
                <w:rFonts w:hint="eastAsia" w:ascii="新宋体" w:hAnsi="新宋体" w:eastAsia="新宋体" w:cs="新宋体"/>
                <w:color w:val="000000"/>
                <w:highlight w:val="none"/>
              </w:rPr>
              <w:t>=10200kcal/kg=42.7MJ/kg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vMerge w:val="restart"/>
            <w:noWrap w:val="0"/>
            <w:vAlign w:val="center"/>
          </w:tcPr>
          <w:p>
            <w:pPr>
              <w:pStyle w:val="14"/>
              <w:jc w:val="center"/>
              <w:rPr>
                <w:color w:val="000000"/>
                <w:highlight w:val="none"/>
              </w:rPr>
            </w:pPr>
            <w:r>
              <w:rPr>
                <w:rFonts w:hint="eastAsia"/>
                <w:color w:val="000000"/>
                <w:highlight w:val="none"/>
              </w:rPr>
              <w:t>燃料消耗量</w:t>
            </w:r>
          </w:p>
        </w:tc>
        <w:tc>
          <w:tcPr>
            <w:tcW w:w="2575" w:type="dxa"/>
            <w:gridSpan w:val="2"/>
            <w:tcBorders>
              <w:right w:val="single" w:color="auto" w:sz="4" w:space="0"/>
            </w:tcBorders>
            <w:noWrap w:val="0"/>
            <w:vAlign w:val="center"/>
          </w:tcPr>
          <w:p>
            <w:pPr>
              <w:pStyle w:val="14"/>
              <w:jc w:val="center"/>
              <w:rPr>
                <w:color w:val="000000"/>
                <w:highlight w:val="none"/>
              </w:rPr>
            </w:pPr>
            <w:r>
              <w:rPr>
                <w:rFonts w:ascii="Tahoma" w:hAnsi="Tahoma" w:eastAsia="Tahoma" w:cs="Tahoma"/>
                <w:color w:val="000000"/>
                <w:highlight w:val="none"/>
              </w:rPr>
              <w:t>天然气</w:t>
            </w:r>
          </w:p>
        </w:tc>
        <w:tc>
          <w:tcPr>
            <w:tcW w:w="4222" w:type="dxa"/>
            <w:gridSpan w:val="6"/>
            <w:tcBorders>
              <w:left w:val="single" w:color="auto" w:sz="4" w:space="0"/>
            </w:tcBorders>
            <w:noWrap w:val="0"/>
            <w:vAlign w:val="center"/>
          </w:tcPr>
          <w:p>
            <w:pPr>
              <w:pStyle w:val="14"/>
              <w:jc w:val="center"/>
              <w:rPr>
                <w:color w:val="000000"/>
                <w:highlight w:val="none"/>
              </w:rPr>
            </w:pPr>
            <w:r>
              <w:rPr>
                <w:rFonts w:hint="eastAsia" w:ascii="Tahoma" w:hAnsi="Tahoma" w:cs="Tahoma"/>
                <w:color w:val="000000"/>
                <w:highlight w:val="none"/>
              </w:rPr>
              <w:t>8-41</w:t>
            </w:r>
            <w:r>
              <w:rPr>
                <w:rFonts w:ascii="Tahoma" w:hAnsi="Tahoma" w:eastAsia="Tahoma" w:cs="Tahoma"/>
                <w:color w:val="000000"/>
                <w:highlight w:val="none"/>
              </w:rPr>
              <w:t>Nm3/h</w:t>
            </w:r>
            <w:r>
              <w:rPr>
                <w:rFonts w:hint="eastAsia" w:ascii="Tahoma" w:hAnsi="Tahoma" w:cs="Tahoma"/>
                <w:color w:val="000000"/>
                <w:highlight w:val="none"/>
              </w:rPr>
              <w:t>（最小工况/最大工况）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vMerge w:val="continue"/>
            <w:noWrap w:val="0"/>
            <w:vAlign w:val="center"/>
          </w:tcPr>
          <w:p>
            <w:pPr>
              <w:pStyle w:val="14"/>
              <w:jc w:val="center"/>
              <w:rPr>
                <w:rFonts w:ascii="Tahoma" w:hAnsi="Tahoma" w:eastAsia="Tahoma" w:cs="Tahoma"/>
                <w:color w:val="000000"/>
                <w:highlight w:val="none"/>
              </w:rPr>
            </w:pPr>
          </w:p>
        </w:tc>
        <w:tc>
          <w:tcPr>
            <w:tcW w:w="2575" w:type="dxa"/>
            <w:gridSpan w:val="2"/>
            <w:tcBorders>
              <w:right w:val="single" w:color="auto" w:sz="4" w:space="0"/>
            </w:tcBorders>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轻油</w:t>
            </w:r>
          </w:p>
        </w:tc>
        <w:tc>
          <w:tcPr>
            <w:tcW w:w="4222" w:type="dxa"/>
            <w:gridSpan w:val="6"/>
            <w:tcBorders>
              <w:left w:val="single" w:color="auto" w:sz="4" w:space="0"/>
            </w:tcBorders>
            <w:noWrap w:val="0"/>
            <w:vAlign w:val="center"/>
          </w:tcPr>
          <w:p>
            <w:pPr>
              <w:pStyle w:val="14"/>
              <w:jc w:val="center"/>
              <w:rPr>
                <w:rFonts w:ascii="Tahoma" w:hAnsi="Tahoma" w:cs="Tahoma"/>
                <w:color w:val="000000"/>
                <w:highlight w:val="none"/>
              </w:rPr>
            </w:pPr>
            <w:r>
              <w:rPr>
                <w:rFonts w:hint="eastAsia" w:ascii="Tahoma" w:hAnsi="Tahoma" w:cs="Tahoma"/>
                <w:color w:val="000000"/>
                <w:highlight w:val="none"/>
              </w:rPr>
              <w:t>15-33kg</w:t>
            </w:r>
            <w:r>
              <w:rPr>
                <w:rFonts w:ascii="Tahoma" w:hAnsi="Tahoma" w:eastAsia="Tahoma" w:cs="Tahoma"/>
                <w:color w:val="000000"/>
                <w:highlight w:val="none"/>
              </w:rPr>
              <w:t>/h</w:t>
            </w:r>
            <w:r>
              <w:rPr>
                <w:rFonts w:hint="eastAsia" w:ascii="Tahoma" w:hAnsi="Tahoma" w:cs="Tahoma"/>
                <w:color w:val="000000"/>
                <w:highlight w:val="none"/>
              </w:rPr>
              <w:t>（最小工况/最大工况）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电机</w:t>
            </w:r>
            <w:r>
              <w:rPr>
                <w:rFonts w:hint="eastAsia" w:ascii="Tahoma" w:hAnsi="Tahoma" w:cs="Tahoma"/>
                <w:color w:val="000000"/>
                <w:highlight w:val="none"/>
              </w:rPr>
              <w:t>总功率</w:t>
            </w:r>
            <w:r>
              <w:rPr>
                <w:rFonts w:ascii="Tahoma" w:hAnsi="Tahoma" w:eastAsia="Tahoma" w:cs="Tahoma"/>
                <w:color w:val="000000"/>
                <w:highlight w:val="none"/>
              </w:rPr>
              <w:t>KW</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运输尺寸（长X宽x高）m</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2.6</w:t>
            </w:r>
            <w:r>
              <w:rPr>
                <w:rFonts w:ascii="Tahoma" w:hAnsi="Tahoma" w:eastAsia="Tahoma" w:cs="Tahoma"/>
                <w:color w:val="000000"/>
                <w:highlight w:val="none"/>
              </w:rPr>
              <w:t>x</w:t>
            </w:r>
            <w:r>
              <w:rPr>
                <w:rFonts w:hint="eastAsia" w:ascii="Tahoma" w:hAnsi="Tahoma" w:cs="Tahoma"/>
                <w:color w:val="000000"/>
                <w:highlight w:val="none"/>
              </w:rPr>
              <w:t>1</w:t>
            </w:r>
            <w:r>
              <w:rPr>
                <w:rFonts w:ascii="Tahoma" w:hAnsi="Tahoma" w:eastAsia="Tahoma" w:cs="Tahoma"/>
                <w:color w:val="000000"/>
                <w:highlight w:val="none"/>
              </w:rPr>
              <w:t>.</w:t>
            </w:r>
            <w:r>
              <w:rPr>
                <w:rFonts w:hint="eastAsia" w:ascii="Tahoma" w:hAnsi="Tahoma" w:cs="Tahoma"/>
                <w:color w:val="000000"/>
                <w:highlight w:val="none"/>
              </w:rPr>
              <w:t>16</w:t>
            </w:r>
            <w:r>
              <w:rPr>
                <w:rFonts w:ascii="Tahoma" w:hAnsi="Tahoma" w:eastAsia="Tahoma" w:cs="Tahoma"/>
                <w:color w:val="000000"/>
                <w:highlight w:val="none"/>
              </w:rPr>
              <w:t>x</w:t>
            </w:r>
            <w:r>
              <w:rPr>
                <w:rFonts w:hint="eastAsia" w:ascii="Tahoma" w:hAnsi="Tahoma" w:cs="Tahoma"/>
                <w:color w:val="000000"/>
                <w:highlight w:val="none"/>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hint="eastAsia" w:ascii="Tahoma" w:hAnsi="Tahoma" w:cs="Tahoma"/>
                <w:color w:val="000000"/>
                <w:highlight w:val="none"/>
              </w:rPr>
              <w:t>出水/回水</w:t>
            </w:r>
            <w:r>
              <w:rPr>
                <w:rFonts w:ascii="Tahoma" w:hAnsi="Tahoma" w:eastAsia="Tahoma" w:cs="Tahoma"/>
                <w:color w:val="000000"/>
                <w:highlight w:val="none"/>
              </w:rPr>
              <w:t>接口DN</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排污口DN</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color w:val="000000"/>
                <w:highlight w:val="none"/>
              </w:rPr>
            </w:pPr>
            <w:r>
              <w:rPr>
                <w:rFonts w:ascii="Tahoma" w:hAnsi="Tahoma" w:eastAsia="Tahoma" w:cs="Tahoma"/>
                <w:color w:val="000000"/>
                <w:highlight w:val="none"/>
              </w:rPr>
              <w:t>烟囱口径内径mm</w:t>
            </w:r>
          </w:p>
        </w:tc>
        <w:tc>
          <w:tcPr>
            <w:tcW w:w="4222" w:type="dxa"/>
            <w:gridSpan w:val="6"/>
            <w:noWrap w:val="0"/>
            <w:vAlign w:val="center"/>
          </w:tcPr>
          <w:p>
            <w:pPr>
              <w:pStyle w:val="14"/>
              <w:jc w:val="center"/>
              <w:rPr>
                <w:color w:val="000000"/>
                <w:highlight w:val="none"/>
              </w:rPr>
            </w:pPr>
            <w:r>
              <w:rPr>
                <w:rFonts w:hint="eastAsia" w:ascii="Tahoma" w:hAnsi="Tahoma" w:cs="Tahoma"/>
                <w:color w:val="000000"/>
                <w:highlight w:val="none"/>
              </w:rPr>
              <w:t>219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9272" w:type="dxa"/>
            <w:gridSpan w:val="10"/>
            <w:noWrap w:val="0"/>
            <w:vAlign w:val="center"/>
          </w:tcPr>
          <w:p>
            <w:pPr>
              <w:pStyle w:val="14"/>
              <w:jc w:val="center"/>
              <w:rPr>
                <w:rFonts w:ascii="Tahoma" w:hAnsi="Tahoma" w:cs="Tahoma"/>
                <w:color w:val="000000"/>
                <w:sz w:val="22"/>
                <w:szCs w:val="22"/>
                <w:highlight w:val="none"/>
              </w:rPr>
            </w:pPr>
            <w:r>
              <w:rPr>
                <w:rFonts w:hint="eastAsia"/>
                <w:b/>
                <w:bCs/>
                <w:color w:val="000000"/>
                <w:sz w:val="22"/>
                <w:szCs w:val="22"/>
                <w:highlight w:val="none"/>
              </w:rPr>
              <w:t>配套燃烧器规范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名称</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型号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燃气燃烧器</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TBG35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输出功率</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80-410KW/</w:t>
            </w:r>
            <w:r>
              <w:rPr>
                <w:rFonts w:ascii="Tahoma" w:hAnsi="Tahoma" w:eastAsia="Tahoma" w:cs="Tahoma"/>
                <w:color w:val="000000"/>
                <w:sz w:val="22"/>
                <w:szCs w:val="22"/>
                <w:highlight w:val="none"/>
              </w:rPr>
              <w:t>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天然气流量</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8-41m</w:t>
            </w:r>
            <w:r>
              <w:rPr>
                <w:rFonts w:hint="eastAsia" w:ascii="Tahoma" w:hAnsi="Tahoma" w:cs="Tahoma"/>
                <w:color w:val="000000"/>
                <w:sz w:val="22"/>
                <w:szCs w:val="22"/>
                <w:highlight w:val="none"/>
                <w:vertAlign w:val="superscript"/>
              </w:rPr>
              <w:t>3</w:t>
            </w:r>
            <w:r>
              <w:rPr>
                <w:rFonts w:hint="eastAsia" w:ascii="Tahoma" w:hAnsi="Tahoma" w:cs="Tahoma"/>
                <w:color w:val="000000"/>
                <w:sz w:val="22"/>
                <w:szCs w:val="22"/>
                <w:highlight w:val="none"/>
              </w:rPr>
              <w:t>/h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天然气压力</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5-8Kpa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天然气供气主管径</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DN40-65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eastAsia="Tahoma" w:cs="Tahoma"/>
                <w:color w:val="000000"/>
                <w:sz w:val="22"/>
                <w:szCs w:val="22"/>
                <w:highlight w:val="none"/>
              </w:rPr>
            </w:pPr>
            <w:r>
              <w:rPr>
                <w:rFonts w:hint="eastAsia" w:ascii="Tahoma" w:hAnsi="Tahoma" w:cs="Tahoma"/>
                <w:color w:val="000000"/>
                <w:sz w:val="22"/>
                <w:szCs w:val="22"/>
                <w:highlight w:val="none"/>
              </w:rPr>
              <w:t>燃烧机阀组口径</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DN25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eastAsia="Tahoma" w:cs="Tahoma"/>
                <w:color w:val="000000"/>
                <w:sz w:val="22"/>
                <w:szCs w:val="22"/>
                <w:highlight w:val="none"/>
              </w:rPr>
            </w:pPr>
            <w:r>
              <w:rPr>
                <w:rFonts w:hint="eastAsia" w:ascii="Tahoma" w:hAnsi="Tahoma" w:cs="Tahoma"/>
                <w:color w:val="000000"/>
                <w:sz w:val="22"/>
                <w:szCs w:val="22"/>
                <w:highlight w:val="none"/>
              </w:rPr>
              <w:t>电机功率</w:t>
            </w:r>
          </w:p>
        </w:tc>
        <w:tc>
          <w:tcPr>
            <w:tcW w:w="6797" w:type="dxa"/>
            <w:gridSpan w:val="8"/>
            <w:tcBorders>
              <w:left w:val="single" w:color="auto" w:sz="4" w:space="0"/>
            </w:tcBorders>
            <w:noWrap w:val="0"/>
            <w:vAlign w:val="center"/>
          </w:tcPr>
          <w:p>
            <w:pPr>
              <w:pStyle w:val="14"/>
              <w:jc w:val="center"/>
              <w:rPr>
                <w:rFonts w:ascii="Tahoma" w:hAnsi="Tahoma" w:eastAsia="Tahoma" w:cs="Tahoma"/>
                <w:color w:val="000000"/>
                <w:sz w:val="22"/>
                <w:szCs w:val="22"/>
                <w:highlight w:val="none"/>
              </w:rPr>
            </w:pPr>
            <w:r>
              <w:rPr>
                <w:rFonts w:hint="eastAsia" w:ascii="Tahoma" w:hAnsi="Tahoma" w:cs="Tahoma"/>
                <w:color w:val="000000"/>
                <w:sz w:val="22"/>
                <w:szCs w:val="22"/>
                <w:highlight w:val="none"/>
              </w:rPr>
              <w:t>0.37KW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燃烧机电源</w:t>
            </w:r>
          </w:p>
        </w:tc>
        <w:tc>
          <w:tcPr>
            <w:tcW w:w="6797" w:type="dxa"/>
            <w:gridSpan w:val="8"/>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1N AC 50Hz 230V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5050" w:type="dxa"/>
            <w:gridSpan w:val="4"/>
            <w:noWrap w:val="0"/>
            <w:vAlign w:val="center"/>
          </w:tcPr>
          <w:p>
            <w:pPr>
              <w:pStyle w:val="14"/>
              <w:jc w:val="center"/>
              <w:rPr>
                <w:b/>
                <w:bCs/>
                <w:color w:val="000000"/>
                <w:sz w:val="22"/>
                <w:szCs w:val="22"/>
                <w:highlight w:val="none"/>
              </w:rPr>
            </w:pPr>
            <w:r>
              <w:rPr>
                <w:rFonts w:hint="eastAsia"/>
                <w:b/>
                <w:bCs/>
                <w:color w:val="000000"/>
                <w:sz w:val="22"/>
                <w:szCs w:val="22"/>
                <w:highlight w:val="none"/>
              </w:rPr>
              <w:t>配套热水循环泵规范</w:t>
            </w:r>
          </w:p>
        </w:tc>
        <w:tc>
          <w:tcPr>
            <w:tcW w:w="4222" w:type="dxa"/>
            <w:gridSpan w:val="6"/>
            <w:noWrap w:val="0"/>
            <w:vAlign w:val="center"/>
          </w:tcPr>
          <w:p>
            <w:pPr>
              <w:pStyle w:val="14"/>
              <w:jc w:val="center"/>
              <w:rPr>
                <w:b/>
                <w:bCs/>
                <w:color w:val="000000"/>
                <w:sz w:val="22"/>
                <w:szCs w:val="22"/>
                <w:highlight w:val="none"/>
              </w:rPr>
            </w:pPr>
            <w:r>
              <w:rPr>
                <w:rFonts w:hint="eastAsia"/>
                <w:b/>
                <w:bCs/>
                <w:color w:val="000000"/>
                <w:sz w:val="22"/>
                <w:szCs w:val="22"/>
                <w:highlight w:val="none"/>
              </w:rPr>
              <w:t>配套电控规范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型号</w:t>
            </w:r>
          </w:p>
        </w:tc>
        <w:tc>
          <w:tcPr>
            <w:tcW w:w="2575" w:type="dxa"/>
            <w:gridSpan w:val="2"/>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IRG65-160</w:t>
            </w:r>
          </w:p>
        </w:tc>
        <w:tc>
          <w:tcPr>
            <w:tcW w:w="2571" w:type="dxa"/>
            <w:gridSpan w:val="3"/>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型号</w:t>
            </w:r>
          </w:p>
        </w:tc>
        <w:tc>
          <w:tcPr>
            <w:tcW w:w="1651" w:type="dxa"/>
            <w:gridSpan w:val="3"/>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DK-0.5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流量</w:t>
            </w:r>
          </w:p>
        </w:tc>
        <w:tc>
          <w:tcPr>
            <w:tcW w:w="2575" w:type="dxa"/>
            <w:gridSpan w:val="2"/>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25m</w:t>
            </w:r>
            <w:r>
              <w:rPr>
                <w:rFonts w:hint="eastAsia" w:ascii="Tahoma" w:hAnsi="Tahoma" w:cs="Tahoma"/>
                <w:color w:val="000000"/>
                <w:sz w:val="22"/>
                <w:szCs w:val="22"/>
                <w:highlight w:val="none"/>
                <w:vertAlign w:val="superscript"/>
              </w:rPr>
              <w:t>3</w:t>
            </w:r>
            <w:r>
              <w:rPr>
                <w:rFonts w:hint="eastAsia" w:ascii="Tahoma" w:hAnsi="Tahoma" w:cs="Tahoma"/>
                <w:color w:val="000000"/>
                <w:sz w:val="22"/>
                <w:szCs w:val="22"/>
                <w:highlight w:val="none"/>
              </w:rPr>
              <w:t>/h</w:t>
            </w:r>
          </w:p>
        </w:tc>
        <w:tc>
          <w:tcPr>
            <w:tcW w:w="2571" w:type="dxa"/>
            <w:gridSpan w:val="3"/>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测温器范围</w:t>
            </w:r>
          </w:p>
        </w:tc>
        <w:tc>
          <w:tcPr>
            <w:tcW w:w="1651" w:type="dxa"/>
            <w:gridSpan w:val="3"/>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0-150</w:t>
            </w:r>
            <w:r>
              <w:rPr>
                <w:rFonts w:hint="eastAsia"/>
                <w:color w:val="000000"/>
                <w:sz w:val="22"/>
                <w:szCs w:val="22"/>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34"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扬程</w:t>
            </w:r>
          </w:p>
        </w:tc>
        <w:tc>
          <w:tcPr>
            <w:tcW w:w="2575" w:type="dxa"/>
            <w:gridSpan w:val="2"/>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32m</w:t>
            </w:r>
          </w:p>
        </w:tc>
        <w:tc>
          <w:tcPr>
            <w:tcW w:w="2571" w:type="dxa"/>
            <w:gridSpan w:val="3"/>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本体结构</w:t>
            </w:r>
          </w:p>
        </w:tc>
        <w:tc>
          <w:tcPr>
            <w:tcW w:w="1651" w:type="dxa"/>
            <w:gridSpan w:val="3"/>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箱式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08" w:type="dxa"/>
          <w:trHeight w:val="350" w:hRule="atLeast"/>
          <w:jc w:val="center"/>
        </w:trPr>
        <w:tc>
          <w:tcPr>
            <w:tcW w:w="2475" w:type="dxa"/>
            <w:gridSpan w:val="2"/>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电机功率</w:t>
            </w:r>
          </w:p>
        </w:tc>
        <w:tc>
          <w:tcPr>
            <w:tcW w:w="2575" w:type="dxa"/>
            <w:gridSpan w:val="2"/>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4.0KW</w:t>
            </w:r>
          </w:p>
        </w:tc>
        <w:tc>
          <w:tcPr>
            <w:tcW w:w="2571" w:type="dxa"/>
            <w:gridSpan w:val="3"/>
            <w:tcBorders>
              <w:righ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固定方式</w:t>
            </w:r>
          </w:p>
        </w:tc>
        <w:tc>
          <w:tcPr>
            <w:tcW w:w="1651" w:type="dxa"/>
            <w:gridSpan w:val="3"/>
            <w:tcBorders>
              <w:left w:val="single" w:color="auto" w:sz="4" w:space="0"/>
            </w:tcBorders>
            <w:noWrap w:val="0"/>
            <w:vAlign w:val="center"/>
          </w:tcPr>
          <w:p>
            <w:pPr>
              <w:pStyle w:val="14"/>
              <w:jc w:val="center"/>
              <w:rPr>
                <w:rFonts w:ascii="Tahoma" w:hAnsi="Tahoma" w:cs="Tahoma"/>
                <w:color w:val="000000"/>
                <w:sz w:val="22"/>
                <w:szCs w:val="22"/>
                <w:highlight w:val="none"/>
              </w:rPr>
            </w:pPr>
            <w:r>
              <w:rPr>
                <w:rFonts w:hint="eastAsia" w:ascii="Tahoma" w:hAnsi="Tahoma" w:cs="Tahoma"/>
                <w:color w:val="000000"/>
                <w:sz w:val="22"/>
                <w:szCs w:val="22"/>
                <w:highlight w:val="none"/>
              </w:rPr>
              <w:t>挂式</w:t>
            </w:r>
          </w:p>
        </w:tc>
      </w:tr>
    </w:tbl>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pStyle w:val="2"/>
        <w:ind w:left="0" w:leftChars="0" w:firstLine="0" w:firstLineChars="0"/>
        <w:rPr>
          <w:rFonts w:hint="eastAsia" w:ascii="宋体" w:hAnsi="宋体" w:eastAsia="宋体" w:cs="宋体"/>
          <w:sz w:val="24"/>
          <w:szCs w:val="24"/>
          <w:highlight w:val="none"/>
          <w:lang w:val="en-US" w:eastAsia="zh-CN"/>
        </w:rPr>
      </w:pPr>
    </w:p>
    <w:tbl>
      <w:tblPr>
        <w:tblStyle w:val="17"/>
        <w:tblpPr w:leftFromText="180" w:rightFromText="180" w:vertAnchor="text" w:horzAnchor="page" w:tblpX="1670" w:tblpY="82"/>
        <w:tblOverlap w:val="never"/>
        <w:tblW w:w="9457" w:type="dxa"/>
        <w:tblInd w:w="0" w:type="dxa"/>
        <w:tblLayout w:type="fixed"/>
        <w:tblCellMar>
          <w:top w:w="0" w:type="dxa"/>
          <w:left w:w="108" w:type="dxa"/>
          <w:bottom w:w="0" w:type="dxa"/>
          <w:right w:w="108" w:type="dxa"/>
        </w:tblCellMar>
      </w:tblPr>
      <w:tblGrid>
        <w:gridCol w:w="2552"/>
        <w:gridCol w:w="2784"/>
        <w:gridCol w:w="1160"/>
        <w:gridCol w:w="1382"/>
        <w:gridCol w:w="1579"/>
      </w:tblGrid>
      <w:tr>
        <w:tblPrEx>
          <w:tblCellMar>
            <w:top w:w="0" w:type="dxa"/>
            <w:left w:w="108" w:type="dxa"/>
            <w:bottom w:w="0" w:type="dxa"/>
            <w:right w:w="108" w:type="dxa"/>
          </w:tblCellMar>
        </w:tblPrEx>
        <w:trPr>
          <w:trHeight w:val="517" w:hRule="atLeast"/>
        </w:trPr>
        <w:tc>
          <w:tcPr>
            <w:tcW w:w="9457" w:type="dxa"/>
            <w:gridSpan w:val="5"/>
            <w:tcBorders>
              <w:top w:val="single" w:color="auto" w:sz="4" w:space="0"/>
              <w:left w:val="single" w:color="auto" w:sz="4" w:space="0"/>
              <w:bottom w:val="single" w:color="000000" w:sz="4" w:space="0"/>
              <w:right w:val="single" w:color="auto" w:sz="4" w:space="0"/>
            </w:tcBorders>
            <w:noWrap w:val="0"/>
            <w:vAlign w:val="center"/>
          </w:tcPr>
          <w:p>
            <w:pPr>
              <w:pStyle w:val="2"/>
              <w:rPr>
                <w:rFonts w:hint="eastAsia" w:ascii="宋体" w:hAnsi="宋体" w:eastAsia="宋体" w:cs="宋体"/>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eastAsia" w:ascii="宋体" w:hAnsi="宋体" w:eastAsia="宋体" w:cs="宋体"/>
                <w:b w:val="0"/>
                <w:bCs/>
                <w:sz w:val="24"/>
                <w:szCs w:val="24"/>
                <w:highlight w:val="none"/>
                <w:lang w:eastAsia="zh-CN"/>
              </w:rPr>
            </w:pPr>
            <w:r>
              <w:rPr>
                <w:rFonts w:hint="eastAsia" w:ascii="宋体" w:hAnsi="宋体" w:eastAsia="宋体" w:cs="宋体"/>
                <w:b/>
                <w:bCs/>
                <w:sz w:val="24"/>
                <w:szCs w:val="24"/>
                <w:highlight w:val="none"/>
                <w:lang w:val="en-US" w:eastAsia="zh-CN"/>
              </w:rPr>
              <w:t>四、风机湿帘及配套设施</w:t>
            </w:r>
          </w:p>
        </w:tc>
      </w:tr>
      <w:tr>
        <w:tblPrEx>
          <w:tblCellMar>
            <w:top w:w="0" w:type="dxa"/>
            <w:left w:w="108" w:type="dxa"/>
            <w:bottom w:w="0" w:type="dxa"/>
            <w:right w:w="108" w:type="dxa"/>
          </w:tblCellMar>
        </w:tblPrEx>
        <w:trPr>
          <w:trHeight w:val="517" w:hRule="atLeast"/>
        </w:trPr>
        <w:tc>
          <w:tcPr>
            <w:tcW w:w="2552"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产品名称</w:t>
            </w:r>
          </w:p>
        </w:tc>
        <w:tc>
          <w:tcPr>
            <w:tcW w:w="2784"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规格型号（mm)</w:t>
            </w:r>
          </w:p>
        </w:tc>
        <w:tc>
          <w:tcPr>
            <w:tcW w:w="1160"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单位</w:t>
            </w:r>
          </w:p>
        </w:tc>
        <w:tc>
          <w:tcPr>
            <w:tcW w:w="1382"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数量</w:t>
            </w:r>
          </w:p>
        </w:tc>
        <w:tc>
          <w:tcPr>
            <w:tcW w:w="1579"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备注</w:t>
            </w:r>
          </w:p>
        </w:tc>
      </w:tr>
      <w:tr>
        <w:tblPrEx>
          <w:tblCellMar>
            <w:top w:w="0" w:type="dxa"/>
            <w:left w:w="108" w:type="dxa"/>
            <w:bottom w:w="0" w:type="dxa"/>
            <w:right w:w="108" w:type="dxa"/>
          </w:tblCellMar>
        </w:tblPrEx>
        <w:trPr>
          <w:trHeight w:val="379" w:hRule="atLeast"/>
        </w:trPr>
        <w:tc>
          <w:tcPr>
            <w:tcW w:w="2552"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p>
        </w:tc>
        <w:tc>
          <w:tcPr>
            <w:tcW w:w="2784"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p>
        </w:tc>
        <w:tc>
          <w:tcPr>
            <w:tcW w:w="1160"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p>
        </w:tc>
        <w:tc>
          <w:tcPr>
            <w:tcW w:w="1382"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p>
        </w:tc>
        <w:tc>
          <w:tcPr>
            <w:tcW w:w="1579"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b w:val="0"/>
                <w:bCs/>
                <w:sz w:val="24"/>
                <w:szCs w:val="24"/>
                <w:highlight w:val="none"/>
              </w:rPr>
            </w:pPr>
          </w:p>
        </w:tc>
      </w:tr>
      <w:tr>
        <w:tblPrEx>
          <w:tblCellMar>
            <w:top w:w="0" w:type="dxa"/>
            <w:left w:w="108" w:type="dxa"/>
            <w:bottom w:w="0" w:type="dxa"/>
            <w:right w:w="108" w:type="dxa"/>
          </w:tblCellMar>
        </w:tblPrEx>
        <w:trPr>
          <w:trHeight w:val="721" w:hRule="atLeast"/>
        </w:trPr>
        <w:tc>
          <w:tcPr>
            <w:tcW w:w="2552"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玻璃钢负压风机</w:t>
            </w:r>
          </w:p>
        </w:tc>
        <w:tc>
          <w:tcPr>
            <w:tcW w:w="2784" w:type="dxa"/>
            <w:tcBorders>
              <w:top w:val="nil"/>
              <w:left w:val="nil"/>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1460*1460*600</w:t>
            </w:r>
          </w:p>
        </w:tc>
        <w:tc>
          <w:tcPr>
            <w:tcW w:w="11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台</w:t>
            </w:r>
          </w:p>
        </w:tc>
        <w:tc>
          <w:tcPr>
            <w:tcW w:w="138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8</w:t>
            </w:r>
          </w:p>
        </w:tc>
        <w:tc>
          <w:tcPr>
            <w:tcW w:w="1579"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p>
        </w:tc>
      </w:tr>
      <w:tr>
        <w:tblPrEx>
          <w:tblCellMar>
            <w:top w:w="0" w:type="dxa"/>
            <w:left w:w="108" w:type="dxa"/>
            <w:bottom w:w="0" w:type="dxa"/>
            <w:right w:w="108" w:type="dxa"/>
          </w:tblCellMar>
        </w:tblPrEx>
        <w:trPr>
          <w:trHeight w:val="1022" w:hRule="atLeast"/>
        </w:trPr>
        <w:tc>
          <w:tcPr>
            <w:tcW w:w="2552"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降温水帘</w:t>
            </w:r>
          </w:p>
        </w:tc>
        <w:tc>
          <w:tcPr>
            <w:tcW w:w="2784" w:type="dxa"/>
            <w:tcBorders>
              <w:top w:val="nil"/>
              <w:left w:val="nil"/>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高2000*2000*150</w:t>
            </w:r>
          </w:p>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（8块）</w:t>
            </w:r>
          </w:p>
        </w:tc>
        <w:tc>
          <w:tcPr>
            <w:tcW w:w="11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w:t>
            </w:r>
          </w:p>
        </w:tc>
        <w:tc>
          <w:tcPr>
            <w:tcW w:w="138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16</w:t>
            </w:r>
          </w:p>
        </w:tc>
        <w:tc>
          <w:tcPr>
            <w:tcW w:w="1579" w:type="dxa"/>
            <w:tcBorders>
              <w:top w:val="nil"/>
              <w:left w:val="nil"/>
              <w:bottom w:val="single" w:color="auto" w:sz="4" w:space="0"/>
              <w:right w:val="single" w:color="auto" w:sz="4" w:space="0"/>
            </w:tcBorders>
            <w:noWrap w:val="0"/>
            <w:vAlign w:val="center"/>
          </w:tcPr>
          <w:p>
            <w:pPr>
              <w:ind w:firstLine="240" w:firstLineChars="100"/>
              <w:jc w:val="both"/>
              <w:rPr>
                <w:rFonts w:hint="eastAsia" w:ascii="宋体" w:hAnsi="宋体" w:eastAsia="宋体" w:cs="宋体"/>
                <w:b w:val="0"/>
                <w:bCs/>
                <w:sz w:val="24"/>
                <w:szCs w:val="24"/>
                <w:highlight w:val="none"/>
                <w:lang w:val="en-US" w:eastAsia="zh-CN"/>
              </w:rPr>
            </w:pPr>
          </w:p>
        </w:tc>
      </w:tr>
      <w:tr>
        <w:tblPrEx>
          <w:tblCellMar>
            <w:top w:w="0" w:type="dxa"/>
            <w:left w:w="108" w:type="dxa"/>
            <w:bottom w:w="0" w:type="dxa"/>
            <w:right w:w="108" w:type="dxa"/>
          </w:tblCellMar>
        </w:tblPrEx>
        <w:trPr>
          <w:trHeight w:val="605" w:hRule="atLeast"/>
        </w:trPr>
        <w:tc>
          <w:tcPr>
            <w:tcW w:w="2552"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水箱</w:t>
            </w:r>
          </w:p>
        </w:tc>
        <w:tc>
          <w:tcPr>
            <w:tcW w:w="2784" w:type="dxa"/>
            <w:tcBorders>
              <w:top w:val="nil"/>
              <w:left w:val="nil"/>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1吨</w:t>
            </w:r>
          </w:p>
        </w:tc>
        <w:tc>
          <w:tcPr>
            <w:tcW w:w="11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吨箱</w:t>
            </w:r>
          </w:p>
        </w:tc>
        <w:tc>
          <w:tcPr>
            <w:tcW w:w="138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w:t>
            </w:r>
          </w:p>
        </w:tc>
        <w:tc>
          <w:tcPr>
            <w:tcW w:w="1579"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p>
        </w:tc>
      </w:tr>
      <w:tr>
        <w:tblPrEx>
          <w:tblCellMar>
            <w:top w:w="0" w:type="dxa"/>
            <w:left w:w="108" w:type="dxa"/>
            <w:bottom w:w="0" w:type="dxa"/>
            <w:right w:w="108" w:type="dxa"/>
          </w:tblCellMar>
        </w:tblPrEx>
        <w:trPr>
          <w:trHeight w:val="605" w:hRule="atLeast"/>
        </w:trPr>
        <w:tc>
          <w:tcPr>
            <w:tcW w:w="2552"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水泵</w:t>
            </w:r>
          </w:p>
        </w:tc>
        <w:tc>
          <w:tcPr>
            <w:tcW w:w="2784" w:type="dxa"/>
            <w:tcBorders>
              <w:top w:val="nil"/>
              <w:left w:val="nil"/>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1.5kw</w:t>
            </w:r>
          </w:p>
        </w:tc>
        <w:tc>
          <w:tcPr>
            <w:tcW w:w="11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台</w:t>
            </w:r>
          </w:p>
        </w:tc>
        <w:tc>
          <w:tcPr>
            <w:tcW w:w="138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w:t>
            </w:r>
          </w:p>
        </w:tc>
        <w:tc>
          <w:tcPr>
            <w:tcW w:w="1579"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p>
        </w:tc>
      </w:tr>
      <w:tr>
        <w:tblPrEx>
          <w:tblCellMar>
            <w:top w:w="0" w:type="dxa"/>
            <w:left w:w="108" w:type="dxa"/>
            <w:bottom w:w="0" w:type="dxa"/>
            <w:right w:w="108" w:type="dxa"/>
          </w:tblCellMar>
        </w:tblPrEx>
        <w:trPr>
          <w:trHeight w:val="745" w:hRule="atLeast"/>
        </w:trPr>
        <w:tc>
          <w:tcPr>
            <w:tcW w:w="2552"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水管、管卡等辅料</w:t>
            </w:r>
          </w:p>
        </w:tc>
        <w:tc>
          <w:tcPr>
            <w:tcW w:w="2784" w:type="dxa"/>
            <w:tcBorders>
              <w:top w:val="nil"/>
              <w:left w:val="nil"/>
              <w:bottom w:val="single" w:color="auto" w:sz="4" w:space="0"/>
              <w:right w:val="single" w:color="auto" w:sz="4" w:space="0"/>
            </w:tcBorders>
            <w:noWrap w:val="0"/>
            <w:vAlign w:val="center"/>
          </w:tcPr>
          <w:p>
            <w:pPr>
              <w:jc w:val="both"/>
              <w:rPr>
                <w:rFonts w:hint="eastAsia" w:ascii="宋体" w:hAnsi="宋体" w:eastAsia="宋体" w:cs="宋体"/>
                <w:b w:val="0"/>
                <w:bCs/>
                <w:sz w:val="24"/>
                <w:szCs w:val="24"/>
                <w:highlight w:val="none"/>
                <w:lang w:val="en-US" w:eastAsia="zh-CN"/>
              </w:rPr>
            </w:pPr>
          </w:p>
        </w:tc>
        <w:tc>
          <w:tcPr>
            <w:tcW w:w="11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项</w:t>
            </w:r>
          </w:p>
        </w:tc>
        <w:tc>
          <w:tcPr>
            <w:tcW w:w="1382"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w:t>
            </w:r>
          </w:p>
        </w:tc>
        <w:tc>
          <w:tcPr>
            <w:tcW w:w="1579"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val="0"/>
                <w:bCs/>
                <w:sz w:val="24"/>
                <w:szCs w:val="24"/>
                <w:highlight w:val="none"/>
                <w:lang w:val="en-US" w:eastAsia="zh-CN"/>
              </w:rPr>
            </w:pPr>
          </w:p>
        </w:tc>
      </w:tr>
      <w:tr>
        <w:tblPrEx>
          <w:tblCellMar>
            <w:top w:w="0" w:type="dxa"/>
            <w:left w:w="108" w:type="dxa"/>
            <w:bottom w:w="0" w:type="dxa"/>
            <w:right w:w="108" w:type="dxa"/>
          </w:tblCellMar>
        </w:tblPrEx>
        <w:trPr>
          <w:trHeight w:val="617" w:hRule="atLeast"/>
        </w:trPr>
        <w:tc>
          <w:tcPr>
            <w:tcW w:w="9457" w:type="dxa"/>
            <w:gridSpan w:val="5"/>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eastAsia="zh-CN"/>
              </w:rPr>
              <w:t>备注：含设备、角铁、电线、电柜、防水、线槽、螺丝等安装所需所有辅料一同报价。</w:t>
            </w:r>
          </w:p>
        </w:tc>
      </w:tr>
    </w:tbl>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highlight w:val="none"/>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eastAsia" w:ascii="宋体" w:hAnsi="宋体" w:eastAsia="宋体" w:cstheme="minorBidi"/>
          <w:b/>
          <w:bCs/>
          <w:sz w:val="24"/>
          <w:szCs w:val="24"/>
          <w:highlight w:val="none"/>
          <w:lang w:val="en-US" w:eastAsia="zh-CN" w:bidi="ar-SA"/>
        </w:rPr>
      </w:pPr>
      <w:r>
        <w:rPr>
          <w:rFonts w:hint="eastAsia" w:cs="宋体"/>
          <w:b/>
          <w:bCs/>
          <w:sz w:val="24"/>
          <w:szCs w:val="24"/>
          <w:highlight w:val="none"/>
          <w:lang w:val="en-US" w:eastAsia="zh-CN"/>
        </w:rPr>
        <w:t>B</w:t>
      </w:r>
      <w:r>
        <w:rPr>
          <w:rFonts w:hint="eastAsia" w:ascii="宋体" w:hAnsi="宋体" w:eastAsia="宋体" w:cs="宋体"/>
          <w:b/>
          <w:bCs/>
          <w:sz w:val="24"/>
          <w:szCs w:val="24"/>
          <w:highlight w:val="none"/>
          <w:lang w:val="en-US" w:eastAsia="zh-CN"/>
        </w:rPr>
        <w:t>包：</w:t>
      </w:r>
      <w:r>
        <w:rPr>
          <w:rFonts w:hint="eastAsia" w:ascii="宋体" w:hAnsi="宋体" w:eastAsia="宋体" w:cstheme="minorBidi"/>
          <w:b/>
          <w:bCs/>
          <w:sz w:val="24"/>
          <w:szCs w:val="24"/>
          <w:highlight w:val="none"/>
          <w:lang w:val="en-US" w:eastAsia="zh-CN" w:bidi="ar-SA"/>
        </w:rPr>
        <w:t>农产品冷藏库建设项目制冷设备及配套设施</w:t>
      </w:r>
    </w:p>
    <w:p>
      <w:pPr>
        <w:bidi w:val="0"/>
        <w:rPr>
          <w:rFonts w:hint="default" w:eastAsia="宋体"/>
          <w:b/>
          <w:bCs/>
          <w:highlight w:val="none"/>
          <w:lang w:val="en-US" w:eastAsia="zh-CN"/>
        </w:rPr>
      </w:pPr>
      <w:r>
        <w:rPr>
          <w:rFonts w:hint="eastAsia" w:eastAsia="宋体"/>
          <w:b/>
          <w:bCs/>
          <w:highlight w:val="none"/>
          <w:lang w:eastAsia="zh-CN"/>
        </w:rPr>
        <w:t>一、采购清单</w:t>
      </w:r>
      <w:r>
        <w:rPr>
          <w:rFonts w:hint="eastAsia" w:eastAsia="宋体"/>
          <w:b/>
          <w:bCs/>
          <w:highlight w:val="none"/>
          <w:lang w:val="en-US" w:eastAsia="zh-CN"/>
        </w:rPr>
        <w:t xml:space="preserve"> </w:t>
      </w:r>
    </w:p>
    <w:p>
      <w:pPr>
        <w:bidi w:val="0"/>
        <w:rPr>
          <w:highlight w:val="none"/>
        </w:rPr>
      </w:pPr>
    </w:p>
    <w:tbl>
      <w:tblPr>
        <w:tblStyle w:val="17"/>
        <w:tblW w:w="9180" w:type="dxa"/>
        <w:tblInd w:w="0" w:type="dxa"/>
        <w:tblLayout w:type="fixed"/>
        <w:tblCellMar>
          <w:top w:w="0" w:type="dxa"/>
          <w:left w:w="0" w:type="dxa"/>
          <w:bottom w:w="0" w:type="dxa"/>
          <w:right w:w="0" w:type="dxa"/>
        </w:tblCellMar>
      </w:tblPr>
      <w:tblGrid>
        <w:gridCol w:w="861"/>
        <w:gridCol w:w="3296"/>
        <w:gridCol w:w="1591"/>
        <w:gridCol w:w="831"/>
        <w:gridCol w:w="901"/>
        <w:gridCol w:w="1700"/>
      </w:tblGrid>
      <w:tr>
        <w:tblPrEx>
          <w:tblCellMar>
            <w:top w:w="0" w:type="dxa"/>
            <w:left w:w="0" w:type="dxa"/>
            <w:bottom w:w="0" w:type="dxa"/>
            <w:right w:w="0" w:type="dxa"/>
          </w:tblCellMar>
        </w:tblPrEx>
        <w:trPr>
          <w:trHeight w:val="452" w:hRule="atLeast"/>
        </w:trPr>
        <w:tc>
          <w:tcPr>
            <w:tcW w:w="9180" w:type="dxa"/>
            <w:gridSpan w:val="6"/>
            <w:tcBorders>
              <w:top w:val="single" w:color="auto" w:sz="4" w:space="0"/>
              <w:left w:val="single" w:color="auto" w:sz="4" w:space="0"/>
              <w:bottom w:val="single" w:color="000000" w:sz="8" w:space="0"/>
              <w:right w:val="single" w:color="auto" w:sz="4" w:space="0"/>
            </w:tcBorders>
            <w:noWrap/>
            <w:tcMar>
              <w:top w:w="15" w:type="dxa"/>
              <w:left w:w="15" w:type="dxa"/>
              <w:right w:w="15" w:type="dxa"/>
            </w:tcMar>
            <w:vAlign w:val="center"/>
          </w:tcPr>
          <w:p>
            <w:pPr>
              <w:widowControl/>
              <w:textAlignment w:val="center"/>
              <w:rPr>
                <w:rFonts w:hint="eastAsia" w:ascii="宋体" w:hAnsi="宋体" w:eastAsia="宋体" w:cs="宋体"/>
                <w:color w:val="000000"/>
                <w:sz w:val="24"/>
                <w:szCs w:val="24"/>
                <w:highlight w:val="none"/>
              </w:rPr>
            </w:pPr>
            <w:r>
              <w:rPr>
                <w:rFonts w:hint="eastAsia" w:ascii="宋体" w:hAnsi="宋体" w:eastAsia="宋体" w:cs="宋体"/>
                <w:b/>
                <w:bCs/>
                <w:color w:val="000000"/>
                <w:kern w:val="0"/>
                <w:sz w:val="24"/>
                <w:szCs w:val="24"/>
                <w:highlight w:val="none"/>
                <w:lang w:bidi="ar"/>
              </w:rPr>
              <w:t>(一)、保鲜库库体部分</w:t>
            </w:r>
          </w:p>
        </w:tc>
      </w:tr>
      <w:tr>
        <w:tblPrEx>
          <w:tblCellMar>
            <w:top w:w="0" w:type="dxa"/>
            <w:left w:w="0" w:type="dxa"/>
            <w:bottom w:w="0" w:type="dxa"/>
            <w:right w:w="0" w:type="dxa"/>
          </w:tblCellMar>
        </w:tblPrEx>
        <w:trPr>
          <w:trHeight w:val="526"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eastAsia="zh-CN" w:bidi="ar"/>
              </w:rPr>
              <w:t>序号</w:t>
            </w:r>
          </w:p>
        </w:tc>
        <w:tc>
          <w:tcPr>
            <w:tcW w:w="3296"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eastAsia="zh-CN" w:bidi="ar"/>
              </w:rPr>
              <w:t>名称</w:t>
            </w:r>
          </w:p>
        </w:tc>
        <w:tc>
          <w:tcPr>
            <w:tcW w:w="159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ind w:firstLine="240" w:firstLineChars="100"/>
              <w:textAlignment w:val="bottom"/>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eastAsia="zh-CN" w:bidi="ar"/>
              </w:rPr>
              <w:t>规格</w:t>
            </w:r>
          </w:p>
        </w:tc>
        <w:tc>
          <w:tcPr>
            <w:tcW w:w="83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eastAsia="zh-CN" w:bidi="ar"/>
              </w:rPr>
              <w:t>单位</w:t>
            </w:r>
          </w:p>
        </w:tc>
        <w:tc>
          <w:tcPr>
            <w:tcW w:w="90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数量</w:t>
            </w:r>
          </w:p>
        </w:tc>
        <w:tc>
          <w:tcPr>
            <w:tcW w:w="1700"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备注</w:t>
            </w:r>
          </w:p>
        </w:tc>
      </w:tr>
      <w:tr>
        <w:tblPrEx>
          <w:tblCellMar>
            <w:top w:w="0" w:type="dxa"/>
            <w:left w:w="0" w:type="dxa"/>
            <w:bottom w:w="0" w:type="dxa"/>
            <w:right w:w="0" w:type="dxa"/>
          </w:tblCellMar>
        </w:tblPrEx>
        <w:trPr>
          <w:trHeight w:val="526"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3296"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双彩聚氨酯复合墙板</w:t>
            </w:r>
          </w:p>
        </w:tc>
        <w:tc>
          <w:tcPr>
            <w:tcW w:w="159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ind w:firstLine="240" w:firstLineChars="100"/>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150</w:t>
            </w:r>
            <w:r>
              <w:rPr>
                <w:rStyle w:val="32"/>
                <w:rFonts w:hint="eastAsia" w:ascii="宋体" w:hAnsi="宋体" w:eastAsia="宋体" w:cs="宋体"/>
                <w:sz w:val="24"/>
                <w:szCs w:val="24"/>
                <w:highlight w:val="none"/>
                <w:lang w:bidi="ar"/>
              </w:rPr>
              <w:t>mm</w:t>
            </w:r>
          </w:p>
        </w:tc>
        <w:tc>
          <w:tcPr>
            <w:tcW w:w="83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m</w:t>
            </w:r>
            <w:r>
              <w:rPr>
                <w:rStyle w:val="33"/>
                <w:rFonts w:hint="eastAsia" w:ascii="宋体" w:hAnsi="宋体" w:eastAsia="宋体" w:cs="宋体"/>
                <w:sz w:val="24"/>
                <w:szCs w:val="24"/>
                <w:highlight w:val="none"/>
                <w:lang w:bidi="ar"/>
              </w:rPr>
              <w:t>2</w:t>
            </w:r>
          </w:p>
        </w:tc>
        <w:tc>
          <w:tcPr>
            <w:tcW w:w="90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850</w:t>
            </w:r>
          </w:p>
        </w:tc>
        <w:tc>
          <w:tcPr>
            <w:tcW w:w="1700"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26"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2</w:t>
            </w:r>
          </w:p>
        </w:tc>
        <w:tc>
          <w:tcPr>
            <w:tcW w:w="3296"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双彩聚氨酯复合顶板</w:t>
            </w:r>
          </w:p>
        </w:tc>
        <w:tc>
          <w:tcPr>
            <w:tcW w:w="159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ind w:firstLine="240" w:firstLineChars="100"/>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200</w:t>
            </w:r>
            <w:r>
              <w:rPr>
                <w:rStyle w:val="32"/>
                <w:rFonts w:hint="eastAsia" w:ascii="宋体" w:hAnsi="宋体" w:eastAsia="宋体" w:cs="宋体"/>
                <w:sz w:val="24"/>
                <w:szCs w:val="24"/>
                <w:highlight w:val="none"/>
                <w:lang w:bidi="ar"/>
              </w:rPr>
              <w:t>mm</w:t>
            </w:r>
          </w:p>
        </w:tc>
        <w:tc>
          <w:tcPr>
            <w:tcW w:w="83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m</w:t>
            </w:r>
            <w:r>
              <w:rPr>
                <w:rStyle w:val="33"/>
                <w:rFonts w:hint="eastAsia" w:ascii="宋体" w:hAnsi="宋体" w:eastAsia="宋体" w:cs="宋体"/>
                <w:sz w:val="24"/>
                <w:szCs w:val="24"/>
                <w:highlight w:val="none"/>
                <w:lang w:bidi="ar"/>
              </w:rPr>
              <w:t>2</w:t>
            </w:r>
          </w:p>
        </w:tc>
        <w:tc>
          <w:tcPr>
            <w:tcW w:w="90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730</w:t>
            </w:r>
          </w:p>
        </w:tc>
        <w:tc>
          <w:tcPr>
            <w:tcW w:w="1700"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bidi="ar"/>
              </w:rPr>
            </w:pPr>
          </w:p>
        </w:tc>
      </w:tr>
      <w:tr>
        <w:tblPrEx>
          <w:tblCellMar>
            <w:top w:w="0" w:type="dxa"/>
            <w:left w:w="0" w:type="dxa"/>
            <w:bottom w:w="0" w:type="dxa"/>
            <w:right w:w="0" w:type="dxa"/>
          </w:tblCellMar>
        </w:tblPrEx>
        <w:trPr>
          <w:trHeight w:val="510"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XPS泡沫板</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m</w:t>
            </w:r>
            <w:r>
              <w:rPr>
                <w:rStyle w:val="33"/>
                <w:rFonts w:hint="eastAsia" w:ascii="宋体" w:hAnsi="宋体" w:eastAsia="宋体" w:cs="宋体"/>
                <w:sz w:val="24"/>
                <w:szCs w:val="24"/>
                <w:highlight w:val="none"/>
                <w:lang w:bidi="ar"/>
              </w:rPr>
              <w:t>3</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75</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03"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手动平移冷库门</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r>
              <w:rPr>
                <w:rStyle w:val="32"/>
                <w:rFonts w:hint="eastAsia" w:ascii="宋体" w:hAnsi="宋体" w:eastAsia="宋体" w:cs="宋体"/>
                <w:sz w:val="24"/>
                <w:szCs w:val="24"/>
                <w:highlight w:val="none"/>
                <w:lang w:bidi="ar"/>
              </w:rPr>
              <w:t>500mm</w:t>
            </w: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10"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离心冷风幕</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15</w:t>
            </w:r>
            <w:r>
              <w:rPr>
                <w:rStyle w:val="32"/>
                <w:rFonts w:hint="eastAsia" w:ascii="宋体" w:hAnsi="宋体" w:eastAsia="宋体" w:cs="宋体"/>
                <w:sz w:val="24"/>
                <w:szCs w:val="24"/>
                <w:highlight w:val="none"/>
                <w:lang w:bidi="ar"/>
              </w:rPr>
              <w:t>00mm　</w:t>
            </w: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79"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折弯件</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m</w:t>
            </w:r>
            <w:r>
              <w:rPr>
                <w:rStyle w:val="33"/>
                <w:rFonts w:hint="eastAsia" w:ascii="宋体" w:hAnsi="宋体" w:eastAsia="宋体" w:cs="宋体"/>
                <w:sz w:val="24"/>
                <w:szCs w:val="24"/>
                <w:highlight w:val="none"/>
                <w:lang w:bidi="ar"/>
              </w:rPr>
              <w:t>2</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100</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填充剂</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項</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7</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密封胶</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項</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62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8</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顶板托梁</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吨</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26"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9</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顶板</w:t>
            </w:r>
            <w:r>
              <w:rPr>
                <w:rStyle w:val="32"/>
                <w:rFonts w:hint="eastAsia" w:ascii="宋体" w:hAnsi="宋体" w:eastAsia="宋体" w:cs="宋体"/>
                <w:sz w:val="24"/>
                <w:szCs w:val="24"/>
                <w:highlight w:val="none"/>
                <w:lang w:bidi="ar"/>
              </w:rPr>
              <w:t>吊梁</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吨</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26"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吊顶板装置</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37</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12</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防潮层</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jc w:val="cente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2层</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1600</w:t>
            </w:r>
          </w:p>
        </w:tc>
        <w:tc>
          <w:tcPr>
            <w:tcW w:w="1700"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47" w:hRule="atLeast"/>
        </w:trPr>
        <w:tc>
          <w:tcPr>
            <w:tcW w:w="9180" w:type="dxa"/>
            <w:gridSpan w:val="6"/>
            <w:tcBorders>
              <w:top w:val="nil"/>
              <w:left w:val="single" w:color="auto" w:sz="4" w:space="0"/>
              <w:bottom w:val="single" w:color="000000" w:sz="8" w:space="0"/>
              <w:right w:val="single" w:color="auto" w:sz="4"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b/>
                <w:bCs/>
                <w:color w:val="000000"/>
                <w:kern w:val="0"/>
                <w:sz w:val="24"/>
                <w:szCs w:val="24"/>
                <w:highlight w:val="none"/>
                <w:lang w:bidi="ar"/>
              </w:rPr>
              <w:t>(二)、保鲜库制冷系统部分</w:t>
            </w:r>
          </w:p>
        </w:tc>
      </w:tr>
      <w:tr>
        <w:tblPrEx>
          <w:tblCellMar>
            <w:top w:w="0" w:type="dxa"/>
            <w:left w:w="0" w:type="dxa"/>
            <w:bottom w:w="0" w:type="dxa"/>
            <w:right w:w="0" w:type="dxa"/>
          </w:tblCellMar>
        </w:tblPrEx>
        <w:trPr>
          <w:trHeight w:val="558"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3296"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并联压缩机组</w:t>
            </w:r>
          </w:p>
        </w:tc>
        <w:tc>
          <w:tcPr>
            <w:tcW w:w="159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FNRH/G-60-4</w:t>
            </w:r>
          </w:p>
        </w:tc>
        <w:tc>
          <w:tcPr>
            <w:tcW w:w="83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901" w:type="dxa"/>
            <w:tcBorders>
              <w:top w:val="single" w:color="000000" w:sz="8"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42"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吊顶式冷风机</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DD</w:t>
            </w:r>
            <w:r>
              <w:rPr>
                <w:rStyle w:val="32"/>
                <w:rFonts w:hint="eastAsia" w:ascii="宋体" w:hAnsi="宋体" w:eastAsia="宋体" w:cs="宋体"/>
                <w:color w:val="auto"/>
                <w:sz w:val="24"/>
                <w:szCs w:val="24"/>
                <w:highlight w:val="none"/>
                <w:lang w:bidi="ar"/>
              </w:rPr>
              <w:t>-140</w:t>
            </w: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阀件</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auto"/>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項</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42"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管路及保温</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auto"/>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項</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94"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w:t>
            </w:r>
          </w:p>
        </w:tc>
        <w:tc>
          <w:tcPr>
            <w:tcW w:w="3296" w:type="dxa"/>
            <w:tcBorders>
              <w:top w:val="nil"/>
              <w:left w:val="nil"/>
              <w:bottom w:val="single" w:color="000000" w:sz="8" w:space="0"/>
              <w:right w:val="single" w:color="000000" w:sz="8" w:space="0"/>
            </w:tcBorders>
            <w:noWrap/>
            <w:tcMar>
              <w:top w:w="15" w:type="dxa"/>
              <w:left w:w="15" w:type="dxa"/>
              <w:right w:w="15" w:type="dxa"/>
            </w:tcMar>
            <w:vAlign w:val="center"/>
          </w:tcPr>
          <w:p>
            <w:pPr>
              <w:widowControl/>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bidi="ar"/>
              </w:rPr>
              <w:t>氟利昂</w:t>
            </w:r>
            <w:r>
              <w:rPr>
                <w:rStyle w:val="29"/>
                <w:rFonts w:hint="eastAsia" w:ascii="宋体" w:hAnsi="宋体" w:eastAsia="宋体" w:cs="宋体"/>
                <w:b w:val="0"/>
                <w:bCs w:val="0"/>
                <w:color w:val="auto"/>
                <w:sz w:val="24"/>
                <w:szCs w:val="24"/>
                <w:highlight w:val="none"/>
                <w:lang w:bidi="ar"/>
              </w:rPr>
              <w:t>（首次充注量）</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kg</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500</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26"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c>
          <w:tcPr>
            <w:tcW w:w="3296" w:type="dxa"/>
            <w:tcBorders>
              <w:top w:val="nil"/>
              <w:left w:val="nil"/>
              <w:bottom w:val="single" w:color="000000" w:sz="8" w:space="0"/>
              <w:right w:val="single" w:color="000000" w:sz="8" w:space="0"/>
            </w:tcBorders>
            <w:noWrap/>
            <w:tcMar>
              <w:top w:w="15" w:type="dxa"/>
              <w:left w:w="15" w:type="dxa"/>
              <w:right w:w="15" w:type="dxa"/>
            </w:tcMar>
            <w:vAlign w:val="center"/>
          </w:tcPr>
          <w:p>
            <w:pPr>
              <w:widowControl/>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bidi="ar"/>
              </w:rPr>
              <w:t>冷冻油</w:t>
            </w:r>
            <w:r>
              <w:rPr>
                <w:rStyle w:val="29"/>
                <w:rFonts w:hint="eastAsia" w:ascii="宋体" w:hAnsi="宋体" w:eastAsia="宋体" w:cs="宋体"/>
                <w:b w:val="0"/>
                <w:bCs w:val="0"/>
                <w:color w:val="auto"/>
                <w:sz w:val="24"/>
                <w:szCs w:val="24"/>
                <w:highlight w:val="none"/>
                <w:lang w:bidi="ar"/>
              </w:rPr>
              <w:t>（首次充注量）</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升</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130</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94" w:hRule="atLeast"/>
        </w:trPr>
        <w:tc>
          <w:tcPr>
            <w:tcW w:w="861" w:type="dxa"/>
            <w:tcBorders>
              <w:top w:val="nil"/>
              <w:left w:val="single" w:color="auto" w:sz="4" w:space="0"/>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7</w:t>
            </w:r>
          </w:p>
        </w:tc>
        <w:tc>
          <w:tcPr>
            <w:tcW w:w="3296" w:type="dxa"/>
            <w:tcBorders>
              <w:top w:val="nil"/>
              <w:left w:val="nil"/>
              <w:bottom w:val="single" w:color="auto" w:sz="4"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管道支吊架</w:t>
            </w:r>
          </w:p>
        </w:tc>
        <w:tc>
          <w:tcPr>
            <w:tcW w:w="1591" w:type="dxa"/>
            <w:tcBorders>
              <w:top w:val="nil"/>
              <w:left w:val="nil"/>
              <w:bottom w:val="single" w:color="auto" w:sz="4"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nil"/>
              <w:left w:val="nil"/>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8</w:t>
            </w:r>
          </w:p>
        </w:tc>
        <w:tc>
          <w:tcPr>
            <w:tcW w:w="32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辅料</w:t>
            </w:r>
          </w:p>
        </w:tc>
        <w:tc>
          <w:tcPr>
            <w:tcW w:w="15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组</w:t>
            </w:r>
          </w:p>
        </w:tc>
        <w:tc>
          <w:tcPr>
            <w:tcW w:w="9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73" w:hRule="atLeast"/>
        </w:trPr>
        <w:tc>
          <w:tcPr>
            <w:tcW w:w="861" w:type="dxa"/>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9</w:t>
            </w:r>
          </w:p>
        </w:tc>
        <w:tc>
          <w:tcPr>
            <w:tcW w:w="3296" w:type="dxa"/>
            <w:tcBorders>
              <w:top w:val="single" w:color="auto" w:sz="4" w:space="0"/>
              <w:left w:val="nil"/>
              <w:bottom w:val="single" w:color="auto" w:sz="4"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焊条油漆</w:t>
            </w:r>
          </w:p>
        </w:tc>
        <w:tc>
          <w:tcPr>
            <w:tcW w:w="1591" w:type="dxa"/>
            <w:tcBorders>
              <w:top w:val="single" w:color="auto" w:sz="4" w:space="0"/>
              <w:left w:val="nil"/>
              <w:bottom w:val="single" w:color="auto" w:sz="4"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single" w:color="auto" w:sz="4" w:space="0"/>
              <w:left w:val="nil"/>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single" w:color="auto" w:sz="4" w:space="0"/>
              <w:left w:val="nil"/>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10" w:hRule="atLeast"/>
        </w:trPr>
        <w:tc>
          <w:tcPr>
            <w:tcW w:w="86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lang w:bidi="ar"/>
              </w:rPr>
              <w:t>10</w:t>
            </w:r>
          </w:p>
        </w:tc>
        <w:tc>
          <w:tcPr>
            <w:tcW w:w="32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lang w:bidi="ar"/>
              </w:rPr>
              <w:t>氧气乙炔</w:t>
            </w:r>
          </w:p>
        </w:tc>
        <w:tc>
          <w:tcPr>
            <w:tcW w:w="15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宋体" w:hAnsi="宋体" w:eastAsia="宋体" w:cs="宋体"/>
                <w:color w:val="000000"/>
                <w:sz w:val="24"/>
                <w:szCs w:val="24"/>
                <w:highlight w:val="none"/>
                <w:shd w:val="clear" w:color="auto" w:fill="auto"/>
              </w:rPr>
            </w:pPr>
          </w:p>
        </w:tc>
        <w:tc>
          <w:tcPr>
            <w:tcW w:w="83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lang w:bidi="ar"/>
              </w:rPr>
              <w:t>项</w:t>
            </w:r>
          </w:p>
        </w:tc>
        <w:tc>
          <w:tcPr>
            <w:tcW w:w="9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lang w:bidi="ar"/>
              </w:rPr>
              <w:t>1</w:t>
            </w:r>
          </w:p>
        </w:tc>
        <w:tc>
          <w:tcPr>
            <w:tcW w:w="1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shd w:val="clear" w:color="auto" w:fill="auto"/>
              </w:rPr>
            </w:pPr>
          </w:p>
        </w:tc>
      </w:tr>
      <w:tr>
        <w:tblPrEx>
          <w:tblCellMar>
            <w:top w:w="0" w:type="dxa"/>
            <w:left w:w="0" w:type="dxa"/>
            <w:bottom w:w="0" w:type="dxa"/>
            <w:right w:w="0" w:type="dxa"/>
          </w:tblCellMar>
        </w:tblPrEx>
        <w:trPr>
          <w:trHeight w:val="510" w:hRule="atLeast"/>
        </w:trPr>
        <w:tc>
          <w:tcPr>
            <w:tcW w:w="861" w:type="dxa"/>
            <w:tcBorders>
              <w:top w:val="single" w:color="auto" w:sz="4" w:space="0"/>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11</w:t>
            </w:r>
          </w:p>
        </w:tc>
        <w:tc>
          <w:tcPr>
            <w:tcW w:w="3296" w:type="dxa"/>
            <w:tcBorders>
              <w:top w:val="single" w:color="auto" w:sz="4" w:space="0"/>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试压氮气</w:t>
            </w:r>
          </w:p>
        </w:tc>
        <w:tc>
          <w:tcPr>
            <w:tcW w:w="1591" w:type="dxa"/>
            <w:tcBorders>
              <w:top w:val="single" w:color="auto" w:sz="4" w:space="0"/>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single" w:color="auto" w:sz="4"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single" w:color="auto" w:sz="4" w:space="0"/>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12</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蒸发冷</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ZFLS</w:t>
            </w:r>
            <w:r>
              <w:rPr>
                <w:rFonts w:hint="eastAsia" w:ascii="宋体" w:hAnsi="宋体" w:eastAsia="宋体" w:cs="宋体"/>
                <w:color w:val="auto"/>
                <w:kern w:val="0"/>
                <w:sz w:val="24"/>
                <w:szCs w:val="24"/>
                <w:highlight w:val="none"/>
                <w:lang w:bidi="ar"/>
              </w:rPr>
              <w:t>-2200</w:t>
            </w: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13</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紫铜管</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14</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无缝管</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auto" w:sz="4"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15</w:t>
            </w:r>
          </w:p>
        </w:tc>
        <w:tc>
          <w:tcPr>
            <w:tcW w:w="3296" w:type="dxa"/>
            <w:tcBorders>
              <w:top w:val="nil"/>
              <w:left w:val="nil"/>
              <w:bottom w:val="single" w:color="000000" w:sz="8" w:space="0"/>
              <w:right w:val="single" w:color="000000" w:sz="8" w:space="0"/>
            </w:tcBorders>
            <w:noWrap/>
            <w:tcMar>
              <w:top w:w="15" w:type="dxa"/>
              <w:left w:w="15" w:type="dxa"/>
              <w:right w:w="15" w:type="dxa"/>
            </w:tcMar>
            <w:vAlign w:val="bottom"/>
          </w:tcPr>
          <w:p>
            <w:pPr>
              <w:widowControl/>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其它</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项</w:t>
            </w:r>
          </w:p>
        </w:tc>
        <w:tc>
          <w:tcPr>
            <w:tcW w:w="901" w:type="dxa"/>
            <w:tcBorders>
              <w:top w:val="nil"/>
              <w:left w:val="nil"/>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bidi="ar"/>
              </w:rPr>
            </w:pPr>
          </w:p>
        </w:tc>
      </w:tr>
      <w:tr>
        <w:tblPrEx>
          <w:tblCellMar>
            <w:top w:w="0" w:type="dxa"/>
            <w:left w:w="0" w:type="dxa"/>
            <w:bottom w:w="0" w:type="dxa"/>
            <w:right w:w="0" w:type="dxa"/>
          </w:tblCellMar>
        </w:tblPrEx>
        <w:trPr>
          <w:trHeight w:val="512" w:hRule="atLeast"/>
        </w:trPr>
        <w:tc>
          <w:tcPr>
            <w:tcW w:w="861"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冲霜税水</w:t>
            </w:r>
          </w:p>
        </w:tc>
        <w:tc>
          <w:tcPr>
            <w:tcW w:w="1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項</w:t>
            </w:r>
          </w:p>
        </w:tc>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ind w:firstLine="480" w:firstLineChars="200"/>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12" w:hRule="atLeast"/>
        </w:trPr>
        <w:tc>
          <w:tcPr>
            <w:tcW w:w="861"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17</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冲霜水阀件</w:t>
            </w:r>
          </w:p>
        </w:tc>
        <w:tc>
          <w:tcPr>
            <w:tcW w:w="15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highlight w:val="none"/>
              </w:rPr>
            </w:pP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項</w:t>
            </w:r>
          </w:p>
        </w:tc>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42" w:hRule="atLeast"/>
        </w:trPr>
        <w:tc>
          <w:tcPr>
            <w:tcW w:w="9180" w:type="dxa"/>
            <w:gridSpan w:val="6"/>
            <w:tcBorders>
              <w:top w:val="nil"/>
              <w:left w:val="single" w:color="auto" w:sz="4" w:space="0"/>
              <w:bottom w:val="single" w:color="000000" w:sz="8" w:space="0"/>
              <w:right w:val="single" w:color="auto" w:sz="4" w:space="0"/>
            </w:tcBorders>
            <w:noWrap/>
            <w:tcMar>
              <w:top w:w="15" w:type="dxa"/>
              <w:left w:w="15" w:type="dxa"/>
              <w:right w:w="15" w:type="dxa"/>
            </w:tcMar>
            <w:vAlign w:val="bottom"/>
          </w:tcPr>
          <w:p>
            <w:pPr>
              <w:widowControl/>
              <w:textAlignment w:val="bottom"/>
              <w:rPr>
                <w:rFonts w:hint="eastAsia" w:ascii="宋体" w:hAnsi="宋体" w:eastAsia="宋体" w:cs="宋体"/>
                <w:color w:val="000000"/>
                <w:sz w:val="24"/>
                <w:szCs w:val="24"/>
                <w:highlight w:val="none"/>
              </w:rPr>
            </w:pPr>
            <w:r>
              <w:rPr>
                <w:rFonts w:hint="eastAsia" w:ascii="宋体" w:hAnsi="宋体" w:eastAsia="宋体" w:cs="宋体"/>
                <w:b/>
                <w:bCs/>
                <w:color w:val="000000"/>
                <w:kern w:val="0"/>
                <w:sz w:val="24"/>
                <w:szCs w:val="24"/>
                <w:highlight w:val="none"/>
                <w:lang w:bidi="ar"/>
              </w:rPr>
              <w:t>（三）制冷系统配套电气系统</w:t>
            </w:r>
          </w:p>
        </w:tc>
      </w:tr>
      <w:tr>
        <w:tblPrEx>
          <w:tblCellMar>
            <w:top w:w="0" w:type="dxa"/>
            <w:left w:w="0" w:type="dxa"/>
            <w:bottom w:w="0" w:type="dxa"/>
            <w:right w:w="0" w:type="dxa"/>
          </w:tblCellMar>
        </w:tblPrEx>
        <w:trPr>
          <w:trHeight w:val="447" w:hRule="atLeast"/>
        </w:trPr>
        <w:tc>
          <w:tcPr>
            <w:tcW w:w="861" w:type="dxa"/>
            <w:tcBorders>
              <w:top w:val="nil"/>
              <w:left w:val="single" w:color="auto" w:sz="4" w:space="0"/>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3296" w:type="dxa"/>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电气控制柜</w:t>
            </w:r>
          </w:p>
        </w:tc>
        <w:tc>
          <w:tcPr>
            <w:tcW w:w="1591" w:type="dxa"/>
            <w:tcBorders>
              <w:top w:val="single" w:color="000000" w:sz="8" w:space="0"/>
              <w:left w:val="nil"/>
              <w:bottom w:val="single" w:color="auto" w:sz="4"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901" w:type="dxa"/>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c>
          <w:tcPr>
            <w:tcW w:w="1700" w:type="dxa"/>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563" w:hRule="atLeast"/>
        </w:trPr>
        <w:tc>
          <w:tcPr>
            <w:tcW w:w="861"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c>
          <w:tcPr>
            <w:tcW w:w="3296"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动力及控制电缆</w:t>
            </w:r>
          </w:p>
        </w:tc>
        <w:tc>
          <w:tcPr>
            <w:tcW w:w="1591" w:type="dxa"/>
            <w:tcBorders>
              <w:top w:val="single" w:color="auto" w:sz="4" w:space="0"/>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000000" w:sz="8" w:space="0"/>
              <w:bottom w:val="single" w:color="000000" w:sz="8"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3296" w:type="dxa"/>
            <w:tcBorders>
              <w:top w:val="nil"/>
              <w:left w:val="nil"/>
              <w:bottom w:val="single" w:color="000000" w:sz="8" w:space="0"/>
              <w:right w:val="single" w:color="000000" w:sz="8" w:space="0"/>
            </w:tcBorders>
            <w:noWrap/>
            <w:tcMar>
              <w:top w:w="15" w:type="dxa"/>
              <w:left w:w="15" w:type="dxa"/>
              <w:right w:w="15" w:type="dxa"/>
            </w:tcMar>
            <w:vAlign w:val="center"/>
          </w:tcPr>
          <w:p>
            <w:pPr>
              <w:widowControl/>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通讯电缆</w:t>
            </w:r>
          </w:p>
        </w:tc>
        <w:tc>
          <w:tcPr>
            <w:tcW w:w="1591" w:type="dxa"/>
            <w:tcBorders>
              <w:top w:val="nil"/>
              <w:left w:val="nil"/>
              <w:bottom w:val="single" w:color="000000" w:sz="8"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431" w:hRule="atLeast"/>
        </w:trPr>
        <w:tc>
          <w:tcPr>
            <w:tcW w:w="861" w:type="dxa"/>
            <w:tcBorders>
              <w:top w:val="nil"/>
              <w:left w:val="single" w:color="000000" w:sz="8" w:space="0"/>
              <w:bottom w:val="single" w:color="auto" w:sz="4" w:space="0"/>
              <w:right w:val="single" w:color="000000" w:sz="8" w:space="0"/>
            </w:tcBorders>
            <w:noWrap/>
            <w:tcMar>
              <w:top w:w="15" w:type="dxa"/>
              <w:left w:w="15" w:type="dxa"/>
              <w:right w:w="15" w:type="dxa"/>
            </w:tcMar>
            <w:vAlign w:val="bottom"/>
          </w:tcPr>
          <w:p>
            <w:pPr>
              <w:widowControl/>
              <w:jc w:val="center"/>
              <w:textAlignment w:val="bottom"/>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c>
          <w:tcPr>
            <w:tcW w:w="3296" w:type="dxa"/>
            <w:tcBorders>
              <w:top w:val="nil"/>
              <w:left w:val="nil"/>
              <w:bottom w:val="single" w:color="auto" w:sz="4" w:space="0"/>
              <w:right w:val="single" w:color="000000" w:sz="8" w:space="0"/>
            </w:tcBorders>
            <w:noWrap/>
            <w:tcMar>
              <w:top w:w="15" w:type="dxa"/>
              <w:left w:w="15" w:type="dxa"/>
              <w:right w:w="15" w:type="dxa"/>
            </w:tcMar>
            <w:vAlign w:val="center"/>
          </w:tcPr>
          <w:p>
            <w:pPr>
              <w:widowControl/>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穿线管</w:t>
            </w:r>
          </w:p>
        </w:tc>
        <w:tc>
          <w:tcPr>
            <w:tcW w:w="1591" w:type="dxa"/>
            <w:tcBorders>
              <w:top w:val="nil"/>
              <w:left w:val="nil"/>
              <w:bottom w:val="single" w:color="auto" w:sz="4" w:space="0"/>
              <w:right w:val="single" w:color="000000" w:sz="8" w:space="0"/>
            </w:tcBorders>
            <w:noWrap/>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831"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901"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700" w:type="dxa"/>
            <w:tcBorders>
              <w:top w:val="nil"/>
              <w:left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（一）60HP高温四并联机组配置</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FNRH/G-60-4一台</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制冷剂R22</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理论排气量，</w:t>
      </w:r>
      <w:r>
        <w:rPr>
          <w:rFonts w:hint="eastAsia" w:ascii="宋体" w:hAnsi="宋体" w:eastAsia="宋体" w:cs="宋体"/>
          <w:sz w:val="24"/>
          <w:szCs w:val="24"/>
          <w:highlight w:val="none"/>
        </w:rPr>
        <w:t>m</w:t>
      </w:r>
      <w:r>
        <w:rPr>
          <w:rFonts w:hint="eastAsia" w:ascii="宋体" w:hAnsi="宋体" w:eastAsia="宋体" w:cs="宋体"/>
          <w:sz w:val="24"/>
          <w:szCs w:val="24"/>
          <w:highlight w:val="none"/>
          <w:vertAlign w:val="superscript"/>
        </w:rPr>
        <w:t>3</w:t>
      </w:r>
      <w:r>
        <w:rPr>
          <w:rFonts w:hint="eastAsia" w:ascii="宋体" w:hAnsi="宋体" w:eastAsia="宋体" w:cs="宋体"/>
          <w:sz w:val="24"/>
          <w:szCs w:val="24"/>
          <w:highlight w:val="none"/>
          <w:vertAlign w:val="baseline"/>
        </w:rPr>
        <w:t>/h</w:t>
      </w: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lang w:val="en-US" w:eastAsia="zh-CN"/>
        </w:rPr>
        <w:t>744</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蒸发温度，℃，—10</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冷凝温度，℃，35</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轴功率，Kw,136.3</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电机功率，Kw,176.4</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电机转速，r.p.m,2900</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防护等级，IP56</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电压，V，380</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制冷量，Kw,426.9</w:t>
      </w:r>
    </w:p>
    <w:p>
      <w:pPr>
        <w:pStyle w:val="2"/>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color w:val="0000FF"/>
          <w:sz w:val="24"/>
          <w:szCs w:val="24"/>
          <w:highlight w:val="none"/>
          <w:lang w:val="en-US" w:eastAsia="zh-CN"/>
        </w:rPr>
      </w:pPr>
      <w:r>
        <w:rPr>
          <w:rFonts w:hint="eastAsia" w:ascii="宋体" w:hAnsi="宋体" w:eastAsia="宋体" w:cs="宋体"/>
          <w:sz w:val="24"/>
          <w:szCs w:val="24"/>
          <w:highlight w:val="none"/>
          <w:lang w:val="en-US" w:eastAsia="zh-CN"/>
        </w:rPr>
        <w:t>（二）蒸发式冷</w:t>
      </w:r>
      <w:r>
        <w:rPr>
          <w:rFonts w:hint="eastAsia" w:ascii="宋体" w:hAnsi="宋体" w:eastAsia="宋体" w:cs="宋体"/>
          <w:color w:val="auto"/>
          <w:sz w:val="24"/>
          <w:szCs w:val="24"/>
          <w:highlight w:val="none"/>
          <w:lang w:val="en-US" w:eastAsia="zh-CN"/>
        </w:rPr>
        <w:t>凝器ZFLS-2200</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在湿球温度26℃、冷凝温度36℃设定工况下的总换热量，2200Kw</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蒸发式冷凝器配置的总电机功率，28Kw</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3、风机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（1）单台风机的风量，87000m³/h</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（2）单台风机电机功率，7.5kw</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（3）安全防护等级、结构特点，直联式轴流风机，防护等级为IP55,风叶采用高质碳纤维材料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4、机体外壳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（1）材质：镀铝锌钢板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（2）型号：耐指纹</w:t>
      </w:r>
      <w:r>
        <w:rPr>
          <w:rFonts w:hint="eastAsia" w:ascii="宋体" w:hAnsi="宋体" w:eastAsia="宋体" w:cs="宋体"/>
          <w:color w:val="auto"/>
          <w:sz w:val="24"/>
          <w:szCs w:val="24"/>
          <w:highlight w:val="none"/>
          <w:vertAlign w:val="baseline"/>
          <w:lang w:val="en-US" w:eastAsia="zh-CN"/>
        </w:rPr>
        <w:t>AZ150 镀铝锌板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（3）厚度2.0mm</w:t>
      </w:r>
    </w:p>
    <w:p>
      <w:pPr>
        <w:pStyle w:val="2"/>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（三）保温板</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表观密度Kg/m³,40-60，</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尺寸稳定性%，≤1.5</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导热系数w/m.k,≤0.025</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抗压强度Kpa,≥300</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氧指数%,≥25</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使用温度℃，－196＋120</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外保护为0.5mm彩钢板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vertAlign w:val="baseli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w:t>
      </w:r>
      <w:r>
        <w:rPr>
          <w:rFonts w:hint="eastAsia" w:ascii="宋体" w:hAnsi="宋体" w:eastAsia="宋体" w:cs="宋体"/>
          <w:color w:val="0000FF"/>
          <w:sz w:val="24"/>
          <w:szCs w:val="24"/>
          <w:highlight w:val="none"/>
          <w:lang w:val="en-US" w:eastAsia="zh-CN"/>
        </w:rPr>
        <w:t>）</w:t>
      </w:r>
      <w:r>
        <w:rPr>
          <w:rFonts w:hint="eastAsia" w:ascii="宋体" w:hAnsi="宋体" w:eastAsia="宋体" w:cs="宋体"/>
          <w:color w:val="auto"/>
          <w:sz w:val="24"/>
          <w:szCs w:val="24"/>
          <w:highlight w:val="none"/>
          <w:lang w:val="en-US" w:eastAsia="zh-CN"/>
        </w:rPr>
        <w:t>DD140</w:t>
      </w:r>
      <w:r>
        <w:rPr>
          <w:rFonts w:hint="eastAsia" w:ascii="宋体" w:hAnsi="宋体" w:eastAsia="宋体" w:cs="宋体"/>
          <w:sz w:val="24"/>
          <w:szCs w:val="24"/>
          <w:highlight w:val="none"/>
          <w:lang w:val="en-US" w:eastAsia="zh-CN"/>
        </w:rPr>
        <w:t>吊顶式冷风机</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名义制冷量26.1KW</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风量每小时4×4800m/h</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功率4×250w</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风压167</w:t>
      </w:r>
    </w:p>
    <w:p>
      <w:pPr>
        <w:pStyle w:val="2"/>
        <w:rPr>
          <w:highlight w:val="none"/>
        </w:rPr>
      </w:pPr>
    </w:p>
    <w:p>
      <w:pPr>
        <w:rPr>
          <w:highlight w:val="none"/>
        </w:rPr>
      </w:pPr>
    </w:p>
    <w:p>
      <w:pPr>
        <w:rPr>
          <w:highlight w:val="none"/>
        </w:rPr>
      </w:pPr>
    </w:p>
    <w:p>
      <w:pPr>
        <w:pStyle w:val="2"/>
        <w:rPr>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C包：酱菜腌制加工项目生产设备</w:t>
      </w:r>
    </w:p>
    <w:p>
      <w:pPr>
        <w:pStyle w:val="2"/>
        <w:keepNext w:val="0"/>
        <w:keepLines w:val="0"/>
        <w:pageBreakBefore w:val="0"/>
        <w:widowControl w:val="0"/>
        <w:kinsoku/>
        <w:wordWrap/>
        <w:overflowPunct/>
        <w:topLinePunct w:val="0"/>
        <w:autoSpaceDE/>
        <w:autoSpaceDN/>
        <w:bidi w:val="0"/>
        <w:adjustRightInd/>
        <w:snapToGrid/>
        <w:spacing w:line="360" w:lineRule="auto"/>
        <w:ind w:left="221"/>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一、采购清单</w:t>
      </w:r>
    </w:p>
    <w:tbl>
      <w:tblPr>
        <w:tblStyle w:val="17"/>
        <w:tblpPr w:leftFromText="180" w:rightFromText="180" w:vertAnchor="text" w:horzAnchor="page" w:tblpX="1984" w:tblpY="281"/>
        <w:tblOverlap w:val="never"/>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50"/>
        <w:gridCol w:w="2930"/>
        <w:gridCol w:w="111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序号</w:t>
            </w:r>
          </w:p>
        </w:tc>
        <w:tc>
          <w:tcPr>
            <w:tcW w:w="195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车间</w:t>
            </w: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设备名称</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数量</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950" w:type="dxa"/>
            <w:vMerge w:val="restart"/>
            <w:noWrap/>
            <w:vAlign w:val="center"/>
          </w:tcPr>
          <w:p>
            <w:pPr>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糖蒜品车间</w:t>
            </w: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理瓶机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10头组合秤</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旋转接料</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全自动液体灌装机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自动封罐机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双头爪式压盖旋盖机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7</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全自动定位贴标机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全自动激光打码（二氧化碳）</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半自动封罐机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双室真空包装机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2</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11</w:t>
            </w:r>
          </w:p>
        </w:tc>
        <w:tc>
          <w:tcPr>
            <w:tcW w:w="1950" w:type="dxa"/>
            <w:vMerge w:val="restart"/>
            <w:noWrap w:val="0"/>
            <w:vAlign w:val="center"/>
          </w:tcPr>
          <w:p>
            <w:pPr>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酱制品车间</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玻璃瓶</w:t>
            </w: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理瓶机（收瓶）</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2</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6头翻转式洗瓶机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3</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6头伺服活塞灌装机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14</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真空旋盖机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5</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全自动定位贴标机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6</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全自动激光打码机（二氧化碳）</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7</w:t>
            </w:r>
          </w:p>
        </w:tc>
        <w:tc>
          <w:tcPr>
            <w:tcW w:w="1950" w:type="dxa"/>
            <w:vMerge w:val="restart"/>
            <w:noWrap w:val="0"/>
            <w:vAlign w:val="bottom"/>
          </w:tcPr>
          <w:p>
            <w:pPr>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酱制品车间</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袋装</w:t>
            </w: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给袋式全自动酱料包装机</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val="en-US" w:eastAsia="zh-CN"/>
              </w:rPr>
              <w:t>8</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800升电磁炒锅</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82" w:type="dxa"/>
            <w:noWrap/>
            <w:vAlign w:val="bottom"/>
          </w:tcPr>
          <w:p>
            <w:pPr>
              <w:pageBreakBefore w:val="0"/>
              <w:widowControl/>
              <w:kinsoku/>
              <w:wordWrap/>
              <w:overflowPunct/>
              <w:topLinePunct w:val="0"/>
              <w:autoSpaceDE/>
              <w:autoSpaceDN/>
              <w:bidi w:val="0"/>
              <w:adjustRightInd/>
              <w:snapToGrid/>
              <w:spacing w:line="360" w:lineRule="auto"/>
              <w:jc w:val="right"/>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19</w:t>
            </w:r>
          </w:p>
        </w:tc>
        <w:tc>
          <w:tcPr>
            <w:tcW w:w="1950"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p>
        </w:tc>
        <w:tc>
          <w:tcPr>
            <w:tcW w:w="2930" w:type="dxa"/>
            <w:noWrap/>
            <w:vAlign w:val="bottom"/>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杀菌釜</w:t>
            </w:r>
          </w:p>
        </w:tc>
        <w:tc>
          <w:tcPr>
            <w:tcW w:w="1115"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w:t>
            </w:r>
          </w:p>
        </w:tc>
        <w:tc>
          <w:tcPr>
            <w:tcW w:w="1520" w:type="dxa"/>
            <w:noWrap/>
            <w:vAlign w:val="bottom"/>
          </w:tcPr>
          <w:p>
            <w:pPr>
              <w:pageBreakBefore w:val="0"/>
              <w:widowControl/>
              <w:kinsoku/>
              <w:wordWrap/>
              <w:overflowPunct/>
              <w:topLinePunct w:val="0"/>
              <w:autoSpaceDE/>
              <w:autoSpaceDN/>
              <w:bidi w:val="0"/>
              <w:adjustRightInd/>
              <w:snapToGrid/>
              <w:spacing w:line="360" w:lineRule="auto"/>
              <w:jc w:val="right"/>
              <w:rPr>
                <w:rFonts w:hint="eastAsia" w:ascii="宋体" w:hAnsi="宋体" w:eastAsia="宋体" w:cs="宋体"/>
                <w:color w:val="000000"/>
                <w:kern w:val="0"/>
                <w:sz w:val="24"/>
                <w:szCs w:val="24"/>
                <w:highlight w:val="none"/>
              </w:rPr>
            </w:pPr>
          </w:p>
        </w:tc>
      </w:tr>
    </w:tbl>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eastAsia="zh-CN"/>
        </w:rPr>
      </w:pPr>
    </w:p>
    <w:p>
      <w:pPr>
        <w:pStyle w:val="2"/>
        <w:pageBreakBefore w:val="0"/>
        <w:numPr>
          <w:ilvl w:val="0"/>
          <w:numId w:val="0"/>
        </w:numPr>
        <w:kinsoku/>
        <w:wordWrap/>
        <w:overflowPunct/>
        <w:topLinePunct w:val="0"/>
        <w:autoSpaceDE/>
        <w:autoSpaceDN/>
        <w:bidi w:val="0"/>
        <w:adjustRightInd/>
        <w:snapToGrid/>
        <w:spacing w:line="360" w:lineRule="auto"/>
        <w:ind w:leftChars="0"/>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val="en-US" w:eastAsia="zh-CN"/>
        </w:rPr>
        <w:t>二、技术参数：</w:t>
      </w:r>
    </w:p>
    <w:p>
      <w:pPr>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kern w:val="2"/>
          <w:sz w:val="24"/>
          <w:szCs w:val="24"/>
          <w:highlight w:val="none"/>
          <w:lang w:val="en-US" w:eastAsia="zh-CN" w:bidi="ar-SA"/>
        </w:rPr>
        <w:t xml:space="preserve">1：理瓶机  </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 xml:space="preserve">1：理瓶速度：35～50罐/分钟 </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2：理瓶高度：40-200mm</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3：适用瓶型直径：35-130mm</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4：工作温度：0～45℃，工作湿度：35～85%</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5：工作电源：单相AC220V 50/60Hz</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6：总功率：200W</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7：重度：100KG（约）</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8：外形尺寸：长85*宽107*高840mm</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9：可一次可以容纳大量罐子，自动整理入包装线的输送带上。</w:t>
      </w:r>
    </w:p>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eastAsia="zh-CN"/>
        </w:rPr>
      </w:pPr>
    </w:p>
    <w:p>
      <w:pPr>
        <w:pStyle w:val="2"/>
        <w:pageBreakBefore w:val="0"/>
        <w:kinsoku/>
        <w:wordWrap/>
        <w:overflowPunct/>
        <w:topLinePunct w:val="0"/>
        <w:autoSpaceDE/>
        <w:autoSpaceDN/>
        <w:bidi w:val="0"/>
        <w:adjustRightInd/>
        <w:snapToGrid/>
        <w:spacing w:line="360" w:lineRule="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2：10头组合秤</w:t>
      </w:r>
    </w:p>
    <w:p>
      <w:pPr>
        <w:pageBreakBefore w:val="0"/>
        <w:kinsoku/>
        <w:wordWrap/>
        <w:overflowPunct/>
        <w:topLinePunct w:val="0"/>
        <w:autoSpaceDE/>
        <w:autoSpaceDN/>
        <w:bidi w:val="0"/>
        <w:adjustRightInd/>
        <w:snapToGrid/>
        <w:spacing w:line="360" w:lineRule="auto"/>
        <w:ind w:firstLine="241" w:firstLineChars="100"/>
        <w:rPr>
          <w:rFonts w:hint="eastAsia" w:ascii="宋体" w:hAnsi="宋体" w:eastAsia="宋体" w:cs="宋体"/>
          <w:b/>
          <w:color w:val="008000"/>
          <w:sz w:val="24"/>
          <w:szCs w:val="24"/>
          <w:highlight w:val="none"/>
        </w:rPr>
      </w:pPr>
      <w:r>
        <w:rPr>
          <w:rFonts w:hint="eastAsia" w:ascii="宋体" w:hAnsi="宋体" w:eastAsia="宋体" w:cs="宋体"/>
          <w:b/>
          <w:color w:val="008000"/>
          <w:sz w:val="24"/>
          <w:szCs w:val="24"/>
          <w:highlight w:val="none"/>
        </w:rPr>
        <w:t xml:space="preserve"> </w:t>
      </w:r>
    </w:p>
    <w:tbl>
      <w:tblPr>
        <w:tblStyle w:val="17"/>
        <w:tblW w:w="939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称重范围</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0-1000g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称量精度</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±0.5-2g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最大称量速度</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r>
              <w:rPr>
                <w:rFonts w:hint="eastAsia" w:ascii="宋体" w:hAnsi="宋体" w:eastAsia="宋体" w:cs="宋体"/>
                <w:sz w:val="24"/>
                <w:szCs w:val="24"/>
                <w:highlight w:val="none"/>
              </w:rPr>
              <w:t xml:space="preserve"> 包/</w:t>
            </w:r>
            <w:r>
              <w:rPr>
                <w:rFonts w:hint="eastAsia" w:ascii="宋体" w:hAnsi="宋体" w:eastAsia="宋体" w:cs="宋体"/>
                <w:sz w:val="24"/>
                <w:szCs w:val="24"/>
                <w:highlight w:val="none"/>
                <w:lang w:val="en-US" w:eastAsia="zh-CN"/>
              </w:rPr>
              <w:t>罐/</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料斗容量</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1600ml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驱动方式</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步进电机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选构装置</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集料斗/打印装置/超差选别装置/可旋转主振机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操作界面</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7英寸触摸屏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电源规格</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220V / 1000W / 50'60 HZ /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包装尺寸(mm)</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1620(L)×1100(W)×1100(H)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包装重量(kg)</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2937" w:type="dxa"/>
            <w:noWrap w:val="0"/>
            <w:vAlign w:val="top"/>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其他</w:t>
            </w:r>
          </w:p>
        </w:tc>
        <w:tc>
          <w:tcPr>
            <w:tcW w:w="6462" w:type="dxa"/>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b w:val="0"/>
                <w:bCs w:val="0"/>
                <w:color w:val="000000"/>
                <w:kern w:val="0"/>
                <w:sz w:val="24"/>
                <w:szCs w:val="24"/>
                <w:highlight w:val="none"/>
                <w:lang w:val="en-US" w:eastAsia="zh-CN" w:bidi="ar-SA"/>
              </w:rPr>
              <w:t>配置出厂参数设置恢复功能； 配触摸屏人机界面控制系统面，IP64防水防尘式设计,304不锈钢材质，数据统计功能，可自动记录每一批生产的总重量、总包数、合格率等指标；</w:t>
            </w:r>
          </w:p>
        </w:tc>
      </w:tr>
    </w:tbl>
    <w:p>
      <w:pPr>
        <w:pStyle w:val="2"/>
        <w:pageBreakBefore w:val="0"/>
        <w:kinsoku/>
        <w:wordWrap/>
        <w:overflowPunct/>
        <w:topLinePunct w:val="0"/>
        <w:autoSpaceDE/>
        <w:autoSpaceDN/>
        <w:bidi w:val="0"/>
        <w:adjustRightInd/>
        <w:snapToGrid/>
        <w:spacing w:line="360" w:lineRule="auto"/>
        <w:rPr>
          <w:rFonts w:hint="eastAsia" w:ascii="宋体" w:hAnsi="宋体" w:eastAsia="宋体" w:cs="宋体"/>
          <w:b/>
          <w:bCs/>
          <w:kern w:val="2"/>
          <w:sz w:val="24"/>
          <w:szCs w:val="24"/>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3:旋转接料机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材质：304#不锈钢     </w:t>
      </w:r>
    </w:p>
    <w:p>
      <w:pPr>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输送带：2米    </w:t>
      </w:r>
    </w:p>
    <w:p>
      <w:pPr>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最快速度：45罐/分</w:t>
      </w:r>
    </w:p>
    <w:p>
      <w:pPr>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电源规格：220V 50/60HZ</w:t>
      </w:r>
    </w:p>
    <w:p>
      <w:pPr>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功率：800W</w:t>
      </w:r>
    </w:p>
    <w:p>
      <w:pPr>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重量：200kg </w:t>
      </w:r>
    </w:p>
    <w:p>
      <w:pPr>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尺寸：L200*W80*H100CM</w:t>
      </w:r>
    </w:p>
    <w:p>
      <w:pPr>
        <w:pStyle w:val="2"/>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4：全自动液体灌装机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1.灌装头数量：6  (可根据采购人产量要求定做)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2.灌装容量：10～200ml  (可根据采购人要求订做）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3.灌装形式：磁力泵灌装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4.理论灌装速度：20-30瓶/分钟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5.灌装精度：1%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6.输送带宽度：84/114 (毫米)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7.输送带：POM工程塑料或者不锈钢链片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8.输送带离地高度：850+50（毫米）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9.整机功率：1.5Kw/220V  交流单相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10.程序控制：进口PLC配合触摸屏人机界面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11.气源：0.6-0.8MPa</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12.其他：（1）磁力泵灌装机流量调节稳定准确，误差负偏小于1%，正偏小于1%；                                                                                       （2）不锈钢材质；（3）可灌装绝大多数类型的液体如：各种药剂、化学品、化妆品、食品饮料等无颗粒状液体。</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5：自动封罐机</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1.封罐头数：1个</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2.封卷轮数：4个（2个第一道封卷轮，2个第二道封卷轮）</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3.封罐速度：35～50罐/分钟(可调速）</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4.封罐高度：25-220mm</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5.封罐直径：35-130mm</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6.工作温度：0～45℃，工作湿度：35～85%</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7.工作电源：单相AC220V 50/60Hz</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8.总功率：2.1KW</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9.重量：330KG（约）</w:t>
      </w:r>
    </w:p>
    <w:p>
      <w:pPr>
        <w:pStyle w:val="2"/>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10.外形尺寸： 长2650*宽840*高1650mm</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b w:val="0"/>
          <w:bCs w:val="0"/>
          <w:kern w:val="2"/>
          <w:sz w:val="24"/>
          <w:szCs w:val="24"/>
          <w:highlight w:val="none"/>
          <w:lang w:val="en-US" w:eastAsia="zh-CN" w:bidi="ar-SA"/>
        </w:rPr>
        <w:t>11.</w:t>
      </w:r>
      <w:r>
        <w:rPr>
          <w:rFonts w:hint="eastAsia" w:cs="宋体"/>
          <w:b w:val="0"/>
          <w:bCs w:val="0"/>
          <w:kern w:val="2"/>
          <w:sz w:val="24"/>
          <w:szCs w:val="24"/>
          <w:highlight w:val="none"/>
          <w:lang w:val="en-US" w:eastAsia="zh-CN" w:bidi="ar-SA"/>
        </w:rPr>
        <w:t>其它：（1）两道封卷轮共4个同时完成封口，确保高密封度。（2）封罐过程中罐体不旋转。（3）封罐速度最高可达到50罐每分钟。（4）整机带透明亚克力外罩，多重防护。（5）适用马口铁罐，铝罐，塑料罐和铁罐包装的产品封罐。</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b/>
          <w:bCs/>
          <w:kern w:val="2"/>
          <w:sz w:val="24"/>
          <w:szCs w:val="24"/>
          <w:highlight w:val="none"/>
          <w:lang w:val="en-US" w:eastAsia="zh-CN" w:bidi="ar-SA"/>
        </w:rPr>
        <w:t>6：双头爪式压盖旋盖机</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1、下盖形式：气爪抓盖下盖。</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2、理盖方式：提升带理盖，不同盖子更换导轨及送盖组件</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3、下盖速度：</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00瓶/小时</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4、旋盖方式：伺服限扭力抓旋式旋盖</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5、旋盖速度：</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00瓶/小时</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5、输送带采用114mm宽POM链片，输送带面离地高8</w:t>
      </w:r>
      <w:r>
        <w:rPr>
          <w:rFonts w:hint="eastAsia" w:ascii="宋体" w:hAnsi="宋体" w:eastAsia="宋体" w:cs="宋体"/>
          <w:sz w:val="24"/>
          <w:szCs w:val="24"/>
          <w:highlight w:val="none"/>
          <w:lang w:val="en-US" w:eastAsia="zh-CN"/>
        </w:rPr>
        <w:t>70</w:t>
      </w:r>
      <w:r>
        <w:rPr>
          <w:rFonts w:hint="eastAsia" w:ascii="宋体" w:hAnsi="宋体" w:eastAsia="宋体" w:cs="宋体"/>
          <w:sz w:val="24"/>
          <w:szCs w:val="24"/>
          <w:highlight w:val="none"/>
        </w:rPr>
        <w:t>mm。</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6、总功率：1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 xml:space="preserve">KW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约</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7、机壳材料采用304不锈钢板</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旋盖电机：伺服电机                                                                                                                   9、外形尺寸：长</w:t>
      </w:r>
      <w:r>
        <w:rPr>
          <w:rFonts w:hint="eastAsia" w:ascii="宋体" w:hAnsi="宋体" w:eastAsia="宋体" w:cs="宋体"/>
          <w:sz w:val="24"/>
          <w:szCs w:val="24"/>
          <w:highlight w:val="none"/>
          <w:lang w:val="en-US" w:eastAsia="zh-CN"/>
        </w:rPr>
        <w:t>31</w:t>
      </w:r>
      <w:r>
        <w:rPr>
          <w:rFonts w:hint="eastAsia" w:ascii="宋体" w:hAnsi="宋体" w:eastAsia="宋体" w:cs="宋体"/>
          <w:sz w:val="24"/>
          <w:szCs w:val="24"/>
          <w:highlight w:val="none"/>
        </w:rPr>
        <w:t>00*宽1</w:t>
      </w:r>
      <w:r>
        <w:rPr>
          <w:rFonts w:hint="eastAsia" w:ascii="宋体" w:hAnsi="宋体" w:eastAsia="宋体" w:cs="宋体"/>
          <w:sz w:val="24"/>
          <w:szCs w:val="24"/>
          <w:highlight w:val="none"/>
          <w:lang w:val="en-US" w:eastAsia="zh-CN"/>
        </w:rPr>
        <w:t>082</w:t>
      </w:r>
      <w:r>
        <w:rPr>
          <w:rFonts w:hint="eastAsia" w:ascii="宋体" w:hAnsi="宋体" w:eastAsia="宋体" w:cs="宋体"/>
          <w:sz w:val="24"/>
          <w:szCs w:val="24"/>
          <w:highlight w:val="none"/>
        </w:rPr>
        <w:t>*高</w:t>
      </w:r>
      <w:r>
        <w:rPr>
          <w:rFonts w:hint="eastAsia" w:ascii="宋体" w:hAnsi="宋体" w:eastAsia="宋体" w:cs="宋体"/>
          <w:sz w:val="24"/>
          <w:szCs w:val="24"/>
          <w:highlight w:val="none"/>
          <w:lang w:val="en-US" w:eastAsia="zh-CN"/>
        </w:rPr>
        <w:t>194</w:t>
      </w:r>
      <w:r>
        <w:rPr>
          <w:rFonts w:hint="eastAsia" w:ascii="宋体" w:hAnsi="宋体" w:eastAsia="宋体" w:cs="宋体"/>
          <w:sz w:val="24"/>
          <w:szCs w:val="24"/>
          <w:highlight w:val="none"/>
        </w:rPr>
        <w:t xml:space="preserve">00mm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约</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10、电源：AC220V 50/60Hz</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耗气量(压缩空气）：0.5-0.6MPA</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电流：</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A                                                                                                  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、适应范围：罐径φ30-φ125mm ，罐高 30-220mm </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14、其他：</w:t>
      </w:r>
      <w:r>
        <w:rPr>
          <w:rFonts w:hint="eastAsia" w:ascii="宋体" w:hAnsi="宋体" w:eastAsia="宋体" w:cs="宋体"/>
          <w:sz w:val="24"/>
          <w:szCs w:val="24"/>
          <w:highlight w:val="none"/>
        </w:rPr>
        <w:t>供盖、夹瓶、传送、旋盖，全自动化完成</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不锈钢材料+轻质铝型材制作</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根据瓶子高矮及瓶盖大小进行调节</w:t>
      </w:r>
      <w:r>
        <w:rPr>
          <w:rFonts w:hint="eastAsia" w:ascii="宋体" w:hAnsi="宋体" w:eastAsia="宋体" w:cs="宋体"/>
          <w:sz w:val="24"/>
          <w:szCs w:val="24"/>
          <w:highlight w:val="none"/>
          <w:lang w:eastAsia="zh-CN"/>
        </w:rPr>
        <w:t>。</w:t>
      </w:r>
    </w:p>
    <w:p>
      <w:pPr>
        <w:pStyle w:val="2"/>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7：全自动定位贴标机</w:t>
      </w:r>
    </w:p>
    <w:tbl>
      <w:tblPr>
        <w:tblStyle w:val="17"/>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954"/>
        <w:gridCol w:w="4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电源电压(V/Hz) </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AC 220/50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整机功率 (W)</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适用产品范围(mm)</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外径30-100mm  高度30-200mm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适用标签范围 (mm)</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高15-130mm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产量(瓶/小时) </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1500-2400瓶（具体根据瓶子实际大小）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4"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外形尺寸（L×W×H）(mm) </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2000×900×1400mm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净重(kg)</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200kg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其他</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color w:val="333333"/>
                <w:sz w:val="24"/>
                <w:szCs w:val="24"/>
                <w:highlight w:val="none"/>
                <w:shd w:val="clear" w:color="auto" w:fill="FFFFFF"/>
              </w:rPr>
            </w:pPr>
            <w:r>
              <w:rPr>
                <w:rFonts w:hint="eastAsia" w:ascii="宋体" w:hAnsi="宋体" w:eastAsia="宋体" w:cs="宋体"/>
                <w:b w:val="0"/>
                <w:bCs w:val="0"/>
                <w:kern w:val="2"/>
                <w:sz w:val="24"/>
                <w:szCs w:val="24"/>
                <w:highlight w:val="none"/>
                <w:lang w:val="en-US" w:eastAsia="zh-CN" w:bidi="ar-SA"/>
              </w:rPr>
              <w:t>可采用不干胶卷筒贴标纸，贴标采用气缸夹瓶方式，配制自动分瓶，一次完成放瓶、贴标，可选配色带打码机同步完成标签生产日期打印，同步追踪，确保出标速度与卷瓶速度同步的自动化，定位贴标。</w:t>
            </w:r>
          </w:p>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p>
        </w:tc>
      </w:tr>
    </w:tbl>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8：全自动激光打码机（二氧化碳）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1.激光功率：20W/30W/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2.激光波长：10.6um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3.打标范围：110X110mm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4.线速度：≤180米/分钟；（振镜速度：0~10000mm/s）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5.电力需求：220V/50HZ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6.整机功耗：700W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7.冷却方式：风冷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8.尺寸：750*800*1400mm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9.重量：50kg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10.适合打码塑料类，例如矿泉水瓶身、</w:t>
      </w:r>
      <w:r>
        <w:rPr>
          <w:rFonts w:hint="eastAsia" w:ascii="宋体" w:hAnsi="宋体" w:eastAsia="宋体" w:cs="宋体"/>
          <w:b w:val="0"/>
          <w:bCs w:val="0"/>
          <w:kern w:val="2"/>
          <w:sz w:val="24"/>
          <w:szCs w:val="24"/>
          <w:highlight w:val="none"/>
          <w:lang w:val="en-US" w:eastAsia="zh-CN" w:bidi="ar-SA"/>
        </w:rPr>
        <w:t>塑料罐底部等。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sz w:val="24"/>
          <w:szCs w:val="24"/>
          <w:highlight w:val="none"/>
          <w:lang w:val="en-US" w:eastAsia="zh-CN"/>
        </w:rPr>
        <w:t>11.其他：（1）采用射频激光器（金属封装）和高速振镜扫描系统，配专用在线式飞行打标控制软件，能满足生产流水线上产品的在线式飞行（连续动态）打标。</w:t>
      </w:r>
      <w:r>
        <w:rPr>
          <w:rFonts w:hint="eastAsia" w:ascii="宋体" w:hAnsi="宋体" w:eastAsia="宋体" w:cs="宋体"/>
          <w:b w:val="0"/>
          <w:bCs w:val="0"/>
          <w:kern w:val="2"/>
          <w:sz w:val="24"/>
          <w:szCs w:val="24"/>
          <w:highlight w:val="none"/>
          <w:lang w:val="en-US" w:eastAsia="zh-CN" w:bidi="ar-SA"/>
        </w:rPr>
        <w:t>（2）打标过程自动化、非接触、无污染，无耗材，免维护。（3）对打标产品起到很好的防伪防串货作用。（4）设备综合性能稳定，具备24小时连续工作能力，能满足工业化大规模在线生产需求。</w:t>
      </w:r>
    </w:p>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9：半自动封罐机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1.封罐头数：1个</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2.封卷轮数：2个（1个第一道封卷轮，1个第二道封卷轮）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3.封罐速度:23罐/分钟 (不可调）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4.封罐高度：25-220mm</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5.封罐直径：35-130mm</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6.工作温度：0～45℃，工作湿度：35～85%</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7.工作电源：单相AC220V 50/60Hz</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8.总功率：0.75KW</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9.重度：100KG（约）</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10.外形尺寸：长550*宽450*高1400mm</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其他：（1）无齿轮传动，噪音小，易维护；（2）电机下置，重心低，移动和使用过程中确保安全；（3）实现一边放罐一边封罐，提高工人的生产效率；（4）封口过程罐体不旋转；（5）启动按钮有桌面式手动；</w:t>
      </w:r>
    </w:p>
    <w:p>
      <w:pPr>
        <w:pageBreakBefore w:val="0"/>
        <w:kinsoku/>
        <w:wordWrap/>
        <w:overflowPunct/>
        <w:topLinePunct w:val="0"/>
        <w:autoSpaceDE/>
        <w:autoSpaceDN/>
        <w:bidi w:val="0"/>
        <w:adjustRightInd/>
        <w:snapToGrid/>
        <w:spacing w:line="360" w:lineRule="auto"/>
        <w:rPr>
          <w:rFonts w:hint="eastAsia" w:ascii="宋体" w:hAnsi="宋体" w:eastAsia="宋体" w:cs="宋体"/>
          <w:b w:val="0"/>
          <w:bCs w:val="0"/>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10：双室真空包装机</w:t>
      </w:r>
    </w:p>
    <w:tbl>
      <w:tblPr>
        <w:tblStyle w:val="17"/>
        <w:tblW w:w="8085" w:type="dxa"/>
        <w:tblInd w:w="93" w:type="dxa"/>
        <w:tblLayout w:type="autofit"/>
        <w:tblCellMar>
          <w:top w:w="0" w:type="dxa"/>
          <w:left w:w="108" w:type="dxa"/>
          <w:bottom w:w="0" w:type="dxa"/>
          <w:right w:w="108" w:type="dxa"/>
        </w:tblCellMar>
      </w:tblPr>
      <w:tblGrid>
        <w:gridCol w:w="4875"/>
        <w:gridCol w:w="3210"/>
      </w:tblGrid>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电源电压(v/Hz)</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 xml:space="preserve">          AC380/50    </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真空泵电机功率(W)</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2000（梅750*2）</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热封功率(W)</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1000</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真空室最低绝对压强(Kpa)</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每室热封条数(</w:t>
            </w:r>
            <w:r>
              <w:rPr>
                <w:rStyle w:val="29"/>
                <w:rFonts w:hint="eastAsia" w:ascii="宋体" w:hAnsi="宋体" w:eastAsia="宋体" w:cs="宋体"/>
                <w:b w:val="0"/>
                <w:bCs w:val="0"/>
                <w:color w:val="000000"/>
                <w:sz w:val="24"/>
                <w:szCs w:val="24"/>
                <w:highlight w:val="none"/>
                <w:lang w:val="en-US" w:eastAsia="zh-CN" w:bidi="ar"/>
              </w:rPr>
              <w:t>pcs</w:t>
            </w:r>
            <w:r>
              <w:rPr>
                <w:rStyle w:val="30"/>
                <w:rFonts w:hint="eastAsia" w:ascii="宋体" w:hAnsi="宋体" w:eastAsia="宋体" w:cs="宋体"/>
                <w:b w:val="0"/>
                <w:bCs w:val="0"/>
                <w:sz w:val="24"/>
                <w:szCs w:val="24"/>
                <w:highlight w:val="none"/>
                <w:lang w:val="en-US" w:eastAsia="zh-CN" w:bidi="ar"/>
              </w:rPr>
              <w:t>)</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真空室内尺寸(LxWxH)(mm)</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670*540*150</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热封条长度(mm)</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600</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热封宽度（mm)</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10</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真空泵排气量(m³/h)</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20*2</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真空室材质</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不锈钢304</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外形尺寸（LxWxH)(mm)Dimension</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1450*650*980</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净重(kg)</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205</w:t>
            </w:r>
          </w:p>
        </w:tc>
      </w:tr>
      <w:tr>
        <w:tblPrEx>
          <w:tblCellMar>
            <w:top w:w="0" w:type="dxa"/>
            <w:left w:w="108" w:type="dxa"/>
            <w:bottom w:w="0" w:type="dxa"/>
            <w:right w:w="108" w:type="dxa"/>
          </w:tblCellMar>
        </w:tblPrEx>
        <w:trPr>
          <w:trHeight w:val="480" w:hRule="atLeast"/>
        </w:trPr>
        <w:tc>
          <w:tcPr>
            <w:tcW w:w="4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两条封口之间的中心距离(mm)</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455</w:t>
            </w:r>
          </w:p>
        </w:tc>
      </w:tr>
    </w:tbl>
    <w:p>
      <w:pPr>
        <w:pStyle w:val="2"/>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b/>
          <w:bCs/>
          <w:kern w:val="2"/>
          <w:sz w:val="24"/>
          <w:szCs w:val="24"/>
          <w:highlight w:val="none"/>
          <w:lang w:val="en-US" w:eastAsia="zh-CN" w:bidi="ar-SA"/>
        </w:rPr>
        <w:t xml:space="preserve">11：理瓶机（收瓶）   </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 xml:space="preserve">1：理瓶速度：35～50罐/分钟 </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2：理瓶高度：40-200mm</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3：适用瓶型直径：35-130mm</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4：工作温度：0～45℃，工作湿度：35～85%</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5：工作电源：单相AC220V 50/60Hz</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6：总功率：200W</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7：重度：100KG（约）</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bCs w:val="0"/>
          <w:kern w:val="2"/>
          <w:sz w:val="24"/>
          <w:szCs w:val="24"/>
          <w:highlight w:val="none"/>
          <w:lang w:val="en-US" w:eastAsia="zh-CN" w:bidi="ar-SA"/>
        </w:rPr>
        <w:t>8：外形尺寸：长85*宽107*高840mm</w:t>
      </w: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12：6头翻转式洗瓶机</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w:t>
      </w:r>
      <w:r>
        <w:rPr>
          <w:rFonts w:hint="eastAsia" w:ascii="宋体" w:hAnsi="宋体" w:eastAsia="宋体" w:cs="宋体"/>
          <w:b w:val="0"/>
          <w:bCs w:val="0"/>
          <w:kern w:val="2"/>
          <w:sz w:val="24"/>
          <w:szCs w:val="24"/>
          <w:highlight w:val="none"/>
          <w:lang w:val="zh-CN" w:eastAsia="zh-CN" w:bidi="ar-SA"/>
        </w:rPr>
        <w:t>洗瓶头数量：</w:t>
      </w:r>
      <w:r>
        <w:rPr>
          <w:rFonts w:hint="eastAsia" w:ascii="宋体" w:hAnsi="宋体" w:eastAsia="宋体" w:cs="宋体"/>
          <w:b w:val="0"/>
          <w:bCs w:val="0"/>
          <w:kern w:val="2"/>
          <w:sz w:val="24"/>
          <w:szCs w:val="24"/>
          <w:highlight w:val="none"/>
          <w:lang w:val="en-US" w:eastAsia="zh-CN" w:bidi="ar-SA"/>
        </w:rPr>
        <w:t>6</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2.</w:t>
      </w:r>
      <w:r>
        <w:rPr>
          <w:rFonts w:hint="eastAsia" w:ascii="宋体" w:hAnsi="宋体" w:eastAsia="宋体" w:cs="宋体"/>
          <w:b w:val="0"/>
          <w:bCs w:val="0"/>
          <w:kern w:val="2"/>
          <w:sz w:val="24"/>
          <w:szCs w:val="24"/>
          <w:highlight w:val="none"/>
          <w:lang w:val="zh-CN" w:eastAsia="zh-CN" w:bidi="ar-SA"/>
        </w:rPr>
        <w:t>适合规格：可按采购人提供的样品</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3.</w:t>
      </w:r>
      <w:r>
        <w:rPr>
          <w:rFonts w:hint="eastAsia" w:ascii="宋体" w:hAnsi="宋体" w:eastAsia="宋体" w:cs="宋体"/>
          <w:b w:val="0"/>
          <w:bCs w:val="0"/>
          <w:kern w:val="2"/>
          <w:sz w:val="24"/>
          <w:szCs w:val="24"/>
          <w:highlight w:val="none"/>
          <w:lang w:val="zh-CN" w:eastAsia="zh-CN" w:bidi="ar-SA"/>
        </w:rPr>
        <w:t>洗瓶形式：夹瓶倒转，先吹水后吹气</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4.生产速度：</w:t>
      </w:r>
      <w:bookmarkStart w:id="162" w:name="OLE_LINK5"/>
      <w:r>
        <w:rPr>
          <w:rFonts w:hint="eastAsia" w:ascii="宋体" w:hAnsi="宋体" w:eastAsia="宋体" w:cs="宋体"/>
          <w:b w:val="0"/>
          <w:bCs w:val="0"/>
          <w:kern w:val="2"/>
          <w:sz w:val="24"/>
          <w:szCs w:val="24"/>
          <w:highlight w:val="none"/>
          <w:lang w:val="en-US" w:eastAsia="zh-CN" w:bidi="ar-SA"/>
        </w:rPr>
        <w:t>约900-1200瓶/小时</w:t>
      </w:r>
      <w:bookmarkEnd w:id="162"/>
      <w:r>
        <w:rPr>
          <w:rFonts w:hint="eastAsia" w:ascii="宋体" w:hAnsi="宋体" w:eastAsia="宋体" w:cs="宋体"/>
          <w:b w:val="0"/>
          <w:bCs w:val="0"/>
          <w:kern w:val="2"/>
          <w:sz w:val="24"/>
          <w:szCs w:val="24"/>
          <w:highlight w:val="none"/>
          <w:lang w:val="zh-CN" w:eastAsia="zh-CN" w:bidi="ar-SA"/>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5.</w:t>
      </w:r>
      <w:r>
        <w:rPr>
          <w:rFonts w:hint="eastAsia" w:ascii="宋体" w:hAnsi="宋体" w:eastAsia="宋体" w:cs="宋体"/>
          <w:b w:val="0"/>
          <w:bCs w:val="0"/>
          <w:kern w:val="2"/>
          <w:sz w:val="24"/>
          <w:szCs w:val="24"/>
          <w:highlight w:val="none"/>
          <w:lang w:val="zh-CN" w:eastAsia="zh-CN" w:bidi="ar-SA"/>
        </w:rPr>
        <w:t>程序控制：PLC+触摸屏</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6.</w:t>
      </w:r>
      <w:r>
        <w:rPr>
          <w:rFonts w:hint="eastAsia" w:ascii="宋体" w:hAnsi="宋体" w:eastAsia="宋体" w:cs="宋体"/>
          <w:b w:val="0"/>
          <w:bCs w:val="0"/>
          <w:kern w:val="2"/>
          <w:sz w:val="24"/>
          <w:szCs w:val="24"/>
          <w:highlight w:val="none"/>
          <w:lang w:val="zh-CN" w:eastAsia="zh-CN" w:bidi="ar-SA"/>
        </w:rPr>
        <w:t>气压：0.6-0.8MPa</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7.</w:t>
      </w:r>
      <w:r>
        <w:rPr>
          <w:rFonts w:hint="eastAsia" w:ascii="宋体" w:hAnsi="宋体" w:eastAsia="宋体" w:cs="宋体"/>
          <w:b w:val="0"/>
          <w:bCs w:val="0"/>
          <w:kern w:val="2"/>
          <w:sz w:val="24"/>
          <w:szCs w:val="24"/>
          <w:highlight w:val="none"/>
          <w:lang w:val="zh-CN" w:eastAsia="zh-CN" w:bidi="ar-SA"/>
        </w:rPr>
        <w:t>功率：约2.3KW/AC220V/380V 50/60HZ</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8.</w:t>
      </w:r>
      <w:r>
        <w:rPr>
          <w:rFonts w:hint="eastAsia" w:ascii="宋体" w:hAnsi="宋体" w:eastAsia="宋体" w:cs="宋体"/>
          <w:b w:val="0"/>
          <w:bCs w:val="0"/>
          <w:kern w:val="2"/>
          <w:sz w:val="24"/>
          <w:szCs w:val="24"/>
          <w:highlight w:val="none"/>
          <w:lang w:val="zh-CN" w:eastAsia="zh-CN" w:bidi="ar-SA"/>
        </w:rPr>
        <w:t>洗仓采用固定喷嘴喷洗，气动喷嘴吹水喷嘴,下仓为卸水槽</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9.</w:t>
      </w:r>
      <w:r>
        <w:rPr>
          <w:rFonts w:hint="eastAsia" w:ascii="宋体" w:hAnsi="宋体" w:eastAsia="宋体" w:cs="宋体"/>
          <w:b w:val="0"/>
          <w:bCs w:val="0"/>
          <w:kern w:val="2"/>
          <w:sz w:val="24"/>
          <w:szCs w:val="24"/>
          <w:highlight w:val="none"/>
          <w:lang w:val="zh-CN" w:eastAsia="zh-CN" w:bidi="ar-SA"/>
        </w:rPr>
        <w:t>废水排除槽外，清洗仓外装有机玻璃防护罩</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10.</w:t>
      </w:r>
      <w:r>
        <w:rPr>
          <w:rFonts w:hint="eastAsia" w:ascii="宋体" w:hAnsi="宋体" w:eastAsia="宋体" w:cs="宋体"/>
          <w:b w:val="0"/>
          <w:bCs w:val="0"/>
          <w:kern w:val="2"/>
          <w:sz w:val="24"/>
          <w:szCs w:val="24"/>
          <w:highlight w:val="none"/>
          <w:lang w:val="zh-CN" w:eastAsia="zh-CN" w:bidi="ar-SA"/>
        </w:rPr>
        <w:t>冲瓶介质：过滤水，一次使用水，无菌压缩空气。</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en-US" w:eastAsia="zh-CN" w:bidi="ar-SA"/>
        </w:rPr>
        <w:t>11：</w:t>
      </w:r>
      <w:r>
        <w:rPr>
          <w:rFonts w:hint="eastAsia" w:ascii="宋体" w:hAnsi="宋体" w:eastAsia="宋体" w:cs="宋体"/>
          <w:b w:val="0"/>
          <w:bCs w:val="0"/>
          <w:kern w:val="2"/>
          <w:sz w:val="24"/>
          <w:szCs w:val="24"/>
          <w:highlight w:val="none"/>
          <w:lang w:val="zh-CN" w:eastAsia="zh-CN" w:bidi="ar-SA"/>
        </w:rPr>
        <w:t>清洗泵采用不锈钢射流式自吸泵，扬程25米，流量2.4立方米/小时</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2"/>
          <w:sz w:val="24"/>
          <w:szCs w:val="24"/>
          <w:highlight w:val="none"/>
          <w:lang w:val="en-US" w:eastAsia="zh-CN" w:bidi="ar-SA"/>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13：6头伺服活塞灌装机</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kern w:val="2"/>
          <w:sz w:val="24"/>
          <w:szCs w:val="24"/>
          <w:highlight w:val="none"/>
          <w:lang w:val="en-US" w:eastAsia="zh-CN" w:bidi="ar-SA"/>
        </w:rPr>
      </w:pPr>
    </w:p>
    <w:tbl>
      <w:tblPr>
        <w:tblStyle w:val="1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867"/>
        <w:gridCol w:w="64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灌装容量</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100-1000ml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灌装头数</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灌装速度</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1800-2500瓶/小时（根据瓶子大小和灌装量而定）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灌装精度</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电源</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380V 60HZ</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功率</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3KW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气压</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0.4-0.6MPa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尺寸</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2000*1400*2100mm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重量</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550KG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其他</w:t>
            </w:r>
          </w:p>
        </w:tc>
        <w:tc>
          <w:tcPr>
            <w:tcW w:w="644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1.采用世界知名品牌的电器和气动元件，故障率低，性能可靠，使用寿命长．</w:t>
            </w:r>
            <w:r>
              <w:rPr>
                <w:rFonts w:hint="eastAsia" w:ascii="宋体" w:hAnsi="宋体" w:eastAsia="宋体" w:cs="宋体"/>
                <w:b w:val="0"/>
                <w:bCs w:val="0"/>
                <w:kern w:val="2"/>
                <w:sz w:val="24"/>
                <w:szCs w:val="24"/>
                <w:highlight w:val="none"/>
                <w:lang w:val="en-US" w:eastAsia="zh-CN" w:bidi="ar-SA"/>
              </w:rPr>
              <w:br w:type="textWrapping"/>
            </w:r>
            <w:r>
              <w:rPr>
                <w:rFonts w:hint="eastAsia" w:ascii="宋体" w:hAnsi="宋体" w:eastAsia="宋体" w:cs="宋体"/>
                <w:b w:val="0"/>
                <w:bCs w:val="0"/>
                <w:kern w:val="2"/>
                <w:sz w:val="24"/>
                <w:szCs w:val="24"/>
                <w:highlight w:val="none"/>
                <w:lang w:val="en-US" w:eastAsia="zh-CN" w:bidi="ar-SA"/>
              </w:rPr>
              <w:t>2.采用高强度不锈钢框架，拆装简便，易清洗，符合GMP要求</w:t>
            </w:r>
            <w:r>
              <w:rPr>
                <w:rFonts w:hint="eastAsia" w:ascii="宋体" w:hAnsi="宋体" w:eastAsia="宋体" w:cs="宋体"/>
                <w:b w:val="0"/>
                <w:bCs w:val="0"/>
                <w:kern w:val="2"/>
                <w:sz w:val="24"/>
                <w:szCs w:val="24"/>
                <w:highlight w:val="none"/>
                <w:lang w:val="en-US" w:eastAsia="zh-CN" w:bidi="ar-SA"/>
              </w:rPr>
              <w:br w:type="textWrapping"/>
            </w:r>
            <w:r>
              <w:rPr>
                <w:rFonts w:hint="eastAsia" w:ascii="宋体" w:hAnsi="宋体" w:eastAsia="宋体" w:cs="宋体"/>
                <w:b w:val="0"/>
                <w:bCs w:val="0"/>
                <w:kern w:val="2"/>
                <w:sz w:val="24"/>
                <w:szCs w:val="24"/>
                <w:highlight w:val="none"/>
                <w:lang w:val="en-US" w:eastAsia="zh-CN" w:bidi="ar-SA"/>
              </w:rPr>
              <w:t>3.灌装量和灌装速度调整简单，由触摸屏操作和显示；</w:t>
            </w:r>
            <w:r>
              <w:rPr>
                <w:rFonts w:hint="eastAsia" w:ascii="宋体" w:hAnsi="宋体" w:eastAsia="宋体" w:cs="宋体"/>
                <w:b w:val="0"/>
                <w:bCs w:val="0"/>
                <w:kern w:val="2"/>
                <w:sz w:val="24"/>
                <w:szCs w:val="24"/>
                <w:highlight w:val="none"/>
                <w:lang w:val="en-US" w:eastAsia="zh-CN" w:bidi="ar-SA"/>
              </w:rPr>
              <w:br w:type="textWrapping"/>
            </w:r>
            <w:r>
              <w:rPr>
                <w:rFonts w:hint="eastAsia" w:ascii="宋体" w:hAnsi="宋体" w:eastAsia="宋体" w:cs="宋体"/>
                <w:b w:val="0"/>
                <w:bCs w:val="0"/>
                <w:kern w:val="2"/>
                <w:sz w:val="24"/>
                <w:szCs w:val="24"/>
                <w:highlight w:val="none"/>
                <w:lang w:val="en-US" w:eastAsia="zh-CN" w:bidi="ar-SA"/>
              </w:rPr>
              <w:t>4.设无瓶不灌装功能，液位自动控制加料；</w:t>
            </w:r>
            <w:r>
              <w:rPr>
                <w:rFonts w:hint="eastAsia" w:ascii="宋体" w:hAnsi="宋体" w:eastAsia="宋体" w:cs="宋体"/>
                <w:b w:val="0"/>
                <w:bCs w:val="0"/>
                <w:kern w:val="2"/>
                <w:sz w:val="24"/>
                <w:szCs w:val="24"/>
                <w:highlight w:val="none"/>
                <w:lang w:val="en-US" w:eastAsia="zh-CN" w:bidi="ar-SA"/>
              </w:rPr>
              <w:br w:type="textWrapping"/>
            </w:r>
            <w:r>
              <w:rPr>
                <w:rFonts w:hint="eastAsia" w:ascii="宋体" w:hAnsi="宋体" w:eastAsia="宋体" w:cs="宋体"/>
                <w:b w:val="0"/>
                <w:bCs w:val="0"/>
                <w:kern w:val="2"/>
                <w:sz w:val="24"/>
                <w:szCs w:val="24"/>
                <w:highlight w:val="none"/>
                <w:lang w:val="en-US" w:eastAsia="zh-CN" w:bidi="ar-SA"/>
              </w:rPr>
              <w:t>5.不需更换零件，即可快速调整各种不同形状规格的瓶子；</w:t>
            </w:r>
            <w:r>
              <w:rPr>
                <w:rFonts w:hint="eastAsia" w:ascii="宋体" w:hAnsi="宋体" w:eastAsia="宋体" w:cs="宋体"/>
                <w:b w:val="0"/>
                <w:bCs w:val="0"/>
                <w:kern w:val="2"/>
                <w:sz w:val="24"/>
                <w:szCs w:val="24"/>
                <w:highlight w:val="none"/>
                <w:lang w:val="en-US" w:eastAsia="zh-CN" w:bidi="ar-SA"/>
              </w:rPr>
              <w:br w:type="textWrapping"/>
            </w:r>
            <w:r>
              <w:rPr>
                <w:rFonts w:hint="eastAsia" w:ascii="宋体" w:hAnsi="宋体" w:eastAsia="宋体" w:cs="宋体"/>
                <w:b w:val="0"/>
                <w:bCs w:val="0"/>
                <w:kern w:val="2"/>
                <w:sz w:val="24"/>
                <w:szCs w:val="24"/>
                <w:highlight w:val="none"/>
                <w:lang w:val="en-US" w:eastAsia="zh-CN" w:bidi="ar-SA"/>
              </w:rPr>
              <w:t>6.灌装头设有特殊防漏装置，灌装无拉丝，滴漏现象。</w:t>
            </w:r>
            <w:r>
              <w:rPr>
                <w:rFonts w:hint="eastAsia" w:ascii="宋体" w:hAnsi="宋体" w:eastAsia="宋体" w:cs="宋体"/>
                <w:b w:val="0"/>
                <w:bCs w:val="0"/>
                <w:kern w:val="2"/>
                <w:sz w:val="24"/>
                <w:szCs w:val="24"/>
                <w:highlight w:val="none"/>
                <w:lang w:val="en-US" w:eastAsia="zh-CN" w:bidi="ar-SA"/>
              </w:rPr>
              <w:br w:type="textWrapping"/>
            </w:r>
            <w:r>
              <w:rPr>
                <w:rFonts w:hint="eastAsia" w:ascii="宋体" w:hAnsi="宋体" w:eastAsia="宋体" w:cs="宋体"/>
                <w:b w:val="0"/>
                <w:bCs w:val="0"/>
                <w:kern w:val="2"/>
                <w:sz w:val="24"/>
                <w:szCs w:val="24"/>
                <w:highlight w:val="none"/>
                <w:lang w:val="en-US" w:eastAsia="zh-CN" w:bidi="ar-SA"/>
              </w:rPr>
              <w:t>7.灌装范围和速度可依据用户需求设计不同的灌装头数．</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kern w:val="2"/>
                <w:sz w:val="24"/>
                <w:szCs w:val="24"/>
                <w:highlight w:val="none"/>
                <w:lang w:val="en-US" w:eastAsia="zh-CN" w:bidi="ar-SA"/>
              </w:rPr>
            </w:pPr>
          </w:p>
        </w:tc>
      </w:tr>
    </w:tbl>
    <w:p>
      <w:pPr>
        <w:pStyle w:val="2"/>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14：真空旋盖机</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1.封瓶头数：2</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2.封瓶速度：25-30瓶/min</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3.适应瓶高：50-180mm</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4.适应瓶径：按样瓶定做（范围￠30-￠150mm）</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5.瓶内真空度：-0.04- -0.07MPA</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6.旋盖扭力：5-15N.M</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7.电压：AC 220V  50Hz</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8.总功率： ＜1.5KW（含真空泵）</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9.工作气压（压缩空气）：≥0.4MPa</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10.耗气量：约0.3立方/min</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11.重量：500kG</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12.</w:t>
      </w:r>
      <w:r>
        <w:rPr>
          <w:rFonts w:hint="eastAsia" w:ascii="宋体" w:hAnsi="宋体" w:cs="宋体"/>
          <w:b w:val="0"/>
          <w:bCs w:val="0"/>
          <w:kern w:val="2"/>
          <w:sz w:val="24"/>
          <w:szCs w:val="24"/>
          <w:highlight w:val="none"/>
          <w:lang w:val="en-US" w:eastAsia="zh-CN" w:bidi="ar-SA"/>
        </w:rPr>
        <w:t>其他</w:t>
      </w:r>
      <w:r>
        <w:rPr>
          <w:rFonts w:hint="eastAsia" w:ascii="宋体" w:hAnsi="宋体" w:eastAsia="宋体" w:cs="宋体"/>
          <w:b w:val="0"/>
          <w:bCs w:val="0"/>
          <w:kern w:val="2"/>
          <w:sz w:val="24"/>
          <w:szCs w:val="24"/>
          <w:highlight w:val="none"/>
          <w:lang w:val="en-US" w:eastAsia="zh-CN" w:bidi="ar-SA"/>
        </w:rPr>
        <w:t>：</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（1）．真空室结构可以有效实现系统的全密封效果，真空泄漏少，配置小功率的真空泵即能实现极高的抽真空效果。</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（2）.采用真空值信号输入控制，实现对每个罐子在旋合盖子前的真空检测，设定真空值达到后才进行扣盖和旋盖动作，保证每个罐子在盖子旋合时都达到设定的真空度值。</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（3）.采用筒式真空罩结构，通过plc（可编程控制器）编程实现自动进出罐、自动配盖、抽真空、夹紧瓶身、旋盖等动作，无需人工干预。</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（4）.配置真空保护功能。</w:t>
      </w:r>
    </w:p>
    <w:p>
      <w:pPr>
        <w:pStyle w:val="31"/>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（5）.采用旋转式设计。</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2"/>
          <w:sz w:val="24"/>
          <w:szCs w:val="24"/>
          <w:highlight w:val="none"/>
          <w:lang w:val="en-US" w:eastAsia="zh-CN" w:bidi="ar-SA"/>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15：全自动定位贴标机</w:t>
      </w:r>
    </w:p>
    <w:tbl>
      <w:tblPr>
        <w:tblStyle w:val="17"/>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954"/>
        <w:gridCol w:w="4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电源电压(V/Hz) </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AC 220/50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整机功率 (W)</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适用产品范围(mm)</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外径30-100mm  高度30-200mm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适用标签范围 (mm)</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高15-130mm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产  量(瓶/小时) </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1500-2400瓶（具体根据瓶子实际大小）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4"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外形尺寸（L×W×H）(mm) </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2000×900×1400mm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净重(kg)</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200kg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3954"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其他</w:t>
            </w:r>
          </w:p>
        </w:tc>
        <w:tc>
          <w:tcPr>
            <w:tcW w:w="4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val="0"/>
                <w:bCs/>
                <w:color w:val="333333"/>
                <w:sz w:val="24"/>
                <w:szCs w:val="24"/>
                <w:highlight w:val="none"/>
                <w:shd w:val="clear" w:color="auto" w:fill="FFFFFF"/>
              </w:rPr>
            </w:pPr>
            <w:r>
              <w:rPr>
                <w:rFonts w:hint="eastAsia" w:ascii="宋体" w:hAnsi="宋体" w:eastAsia="宋体" w:cs="宋体"/>
                <w:b w:val="0"/>
                <w:bCs w:val="0"/>
                <w:kern w:val="2"/>
                <w:sz w:val="24"/>
                <w:szCs w:val="24"/>
                <w:highlight w:val="none"/>
                <w:lang w:val="en-US" w:eastAsia="zh-CN" w:bidi="ar-SA"/>
              </w:rPr>
              <w:t>可采用不干胶卷筒贴标纸，贴标采用气缸夹瓶方式，配制自动分瓶，一次完成放瓶、贴标，还可选配色带打码机同步完成标签生产日期打印，采用PLC控制，同步追踪，出标由步进电机控制，确保出标速度与卷瓶速度同步。</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highlight w:val="none"/>
                <w:lang w:val="en-US" w:eastAsia="zh-CN" w:bidi="ar-SA"/>
              </w:rPr>
            </w:pPr>
          </w:p>
        </w:tc>
      </w:tr>
    </w:tbl>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16：全自动激光打码机（二氧化碳）</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1.激光功率：20W/30W/</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2.激光波长：10.6um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3.打标范围：110X110mm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4.线速度：≤180米/分钟；（振镜速度：0~10000mm/s）</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5.电力需求：220V/50HZ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6.整机功耗：700W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7.冷却方式：风冷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8.尺寸：750*800*1400mm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9.重量：50kg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10.适合打码塑料类，例如矿泉水瓶身</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11.其他：（1）采用射频激光器（金属封装）和高速振镜扫描系统，配专用在线式飞行打标控制软件，能满足生产流水线上产品的在线式飞行（连续动态）打标。</w:t>
      </w:r>
      <w:r>
        <w:rPr>
          <w:rFonts w:hint="eastAsia" w:ascii="宋体" w:hAnsi="宋体" w:eastAsia="宋体" w:cs="宋体"/>
          <w:b w:val="0"/>
          <w:bCs w:val="0"/>
          <w:kern w:val="2"/>
          <w:sz w:val="24"/>
          <w:szCs w:val="24"/>
          <w:highlight w:val="none"/>
          <w:lang w:val="en-US" w:eastAsia="zh-CN" w:bidi="ar-SA"/>
        </w:rPr>
        <w:t>（2）打标过程自动化、非接触、无污染，无耗材，免维护；（3）对打标产品起到防伪防串货作用；（4）设备综合性能稳定，具备24小时连续工作能力，能满足工业化大规模在线生产需求。</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b/>
          <w:bCs/>
          <w:kern w:val="2"/>
          <w:sz w:val="24"/>
          <w:szCs w:val="24"/>
          <w:highlight w:val="none"/>
          <w:lang w:val="en-US" w:eastAsia="zh-CN" w:bidi="ar-SA"/>
        </w:rPr>
        <w:t>17：给袋式全自动酱料包装机</w:t>
      </w:r>
    </w:p>
    <w:tbl>
      <w:tblPr>
        <w:tblStyle w:val="17"/>
        <w:tblW w:w="9356"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6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9"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FFFFFF"/>
                <w:kern w:val="0"/>
                <w:sz w:val="24"/>
                <w:szCs w:val="24"/>
                <w:highlight w:val="none"/>
              </w:rPr>
            </w:pPr>
            <w:r>
              <w:rPr>
                <w:rFonts w:hint="eastAsia" w:ascii="宋体" w:hAnsi="宋体" w:eastAsia="宋体" w:cs="宋体"/>
                <w:color w:val="000000"/>
                <w:kern w:val="0"/>
                <w:sz w:val="24"/>
                <w:szCs w:val="24"/>
                <w:highlight w:val="none"/>
              </w:rPr>
              <w:t xml:space="preserve">包装速度 </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FFFFFF"/>
                <w:kern w:val="0"/>
                <w:sz w:val="24"/>
                <w:szCs w:val="24"/>
                <w:highlight w:val="none"/>
              </w:rPr>
            </w:pPr>
            <w:r>
              <w:rPr>
                <w:rFonts w:hint="eastAsia" w:ascii="宋体" w:hAnsi="宋体" w:eastAsia="宋体" w:cs="宋体"/>
                <w:color w:val="000000"/>
                <w:kern w:val="0"/>
                <w:sz w:val="24"/>
                <w:szCs w:val="24"/>
                <w:highlight w:val="none"/>
              </w:rPr>
              <w:t>16-</w:t>
            </w:r>
            <w:r>
              <w:rPr>
                <w:rFonts w:hint="eastAsia" w:ascii="宋体" w:hAnsi="宋体" w:eastAsia="宋体" w:cs="宋体"/>
                <w:color w:val="000000"/>
                <w:kern w:val="0"/>
                <w:sz w:val="24"/>
                <w:szCs w:val="24"/>
                <w:highlight w:val="none"/>
                <w:lang w:val="en-US" w:eastAsia="zh-CN"/>
              </w:rPr>
              <w:t>50包</w:t>
            </w:r>
            <w:r>
              <w:rPr>
                <w:rFonts w:hint="eastAsia" w:ascii="宋体" w:hAnsi="宋体" w:eastAsia="宋体" w:cs="宋体"/>
                <w:color w:val="000000"/>
                <w:kern w:val="0"/>
                <w:sz w:val="24"/>
                <w:szCs w:val="24"/>
                <w:highlight w:val="none"/>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适合</w:t>
            </w:r>
            <w:r>
              <w:rPr>
                <w:rFonts w:hint="eastAsia" w:ascii="宋体" w:hAnsi="宋体" w:eastAsia="宋体" w:cs="宋体"/>
                <w:color w:val="000000"/>
                <w:kern w:val="0"/>
                <w:sz w:val="24"/>
                <w:szCs w:val="24"/>
                <w:highlight w:val="none"/>
              </w:rPr>
              <w:t>包装袋尺寸</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袋宽W：70-200mm </w:t>
            </w:r>
          </w:p>
          <w:p>
            <w:pPr>
              <w:pageBreakBefore w:val="0"/>
              <w:widowControl/>
              <w:kinsoku/>
              <w:wordWrap/>
              <w:overflowPunct/>
              <w:topLinePunct w:val="0"/>
              <w:autoSpaceDE/>
              <w:autoSpaceDN/>
              <w:bidi w:val="0"/>
              <w:adjustRightInd/>
              <w:snapToGrid/>
              <w:spacing w:line="360" w:lineRule="auto"/>
              <w:ind w:firstLine="1200" w:firstLineChars="5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袋长L:  100-380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适合</w:t>
            </w:r>
            <w:r>
              <w:rPr>
                <w:rFonts w:hint="eastAsia" w:ascii="宋体" w:hAnsi="宋体" w:eastAsia="宋体" w:cs="宋体"/>
                <w:color w:val="000000"/>
                <w:kern w:val="0"/>
                <w:sz w:val="24"/>
                <w:szCs w:val="24"/>
                <w:highlight w:val="none"/>
              </w:rPr>
              <w:t xml:space="preserve">包装重量 </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30 - 200g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空气消耗</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≤0.6m³/min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电压</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总功率</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8.5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整机尺寸 </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L5258 * W2260 * H3655mm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整机重量 </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1500kg+200kg+300kg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精确度 </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261"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其他</w:t>
            </w:r>
          </w:p>
        </w:tc>
        <w:tc>
          <w:tcPr>
            <w:tcW w:w="6095" w:type="dxa"/>
            <w:shd w:val="clear" w:color="auto" w:fill="auto"/>
            <w:noWrap w:val="0"/>
            <w:vAlign w:val="center"/>
          </w:tcPr>
          <w:p>
            <w:pPr>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可</w:t>
            </w:r>
            <w:r>
              <w:rPr>
                <w:rFonts w:hint="eastAsia" w:ascii="宋体" w:hAnsi="宋体" w:eastAsia="宋体" w:cs="宋体"/>
                <w:color w:val="000000"/>
                <w:kern w:val="0"/>
                <w:sz w:val="24"/>
                <w:szCs w:val="24"/>
                <w:highlight w:val="none"/>
              </w:rPr>
              <w:t>根据物料配套电脑组合秤、液体计量泵、伺服螺杆供料系统的包装机组合定量自动包装，计量精准、包装速度快、运行稳定、误差低、噪音低、电脑输入自动袋宽调整。材料符合食品包装卫生要求，封口效果好，操作简易。</w:t>
            </w:r>
          </w:p>
        </w:tc>
      </w:tr>
    </w:tbl>
    <w:p>
      <w:pPr>
        <w:pStyle w:val="2"/>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18：800升电磁炒锅</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全容积</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锅体内径</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Φ1400*8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外形尺寸</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2300*2600*2000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搅拌功率</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加热功率</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液压站功率</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总功率</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搅拌形式</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六头刮底刮边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加热形式</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电磁加热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控制系统</w:t>
            </w:r>
          </w:p>
        </w:tc>
        <w:tc>
          <w:tcPr>
            <w:tcW w:w="609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984"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其他</w:t>
            </w:r>
          </w:p>
        </w:tc>
        <w:tc>
          <w:tcPr>
            <w:tcW w:w="6095" w:type="dxa"/>
            <w:noWrap w:val="0"/>
            <w:vAlign w:val="top"/>
          </w:tcPr>
          <w:p>
            <w:pPr>
              <w:pageBreakBefore w:val="0"/>
              <w:numPr>
                <w:ilvl w:val="0"/>
                <w:numId w:val="12"/>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双液压油缸翻锅；</w:t>
            </w:r>
          </w:p>
          <w:p>
            <w:pPr>
              <w:pageBreakBefore w:val="0"/>
              <w:numPr>
                <w:ilvl w:val="0"/>
                <w:numId w:val="12"/>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100*100加厚加粗不锈钢架体，不使用普通碳钢方管包不锈钢板，以免年久腐蚀的问题；</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3.采用全不锈钢齿轮箱杜绝高温高湿环境下齿轮箱的锈蚀问题；</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4.电器系统选用国内知名大企业配套电器件，降低维修成本；</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5.采用复合锅体。</w:t>
            </w:r>
          </w:p>
        </w:tc>
      </w:tr>
    </w:tbl>
    <w:p>
      <w:pPr>
        <w:bidi w:val="0"/>
        <w:rPr>
          <w:rFonts w:hint="default"/>
          <w:highlight w:val="none"/>
          <w:lang w:val="en-US" w:eastAsia="zh-CN"/>
        </w:rPr>
      </w:pPr>
    </w:p>
    <w:p>
      <w:pPr>
        <w:pStyle w:val="2"/>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19：智能型水喷雾杀菌釜</w:t>
      </w:r>
    </w:p>
    <w:p>
      <w:pPr>
        <w:bidi w:val="0"/>
        <w:rPr>
          <w:rFonts w:hint="eastAsia"/>
          <w:highlight w:val="none"/>
          <w:lang w:val="en-US" w:eastAsia="zh-CN"/>
        </w:rPr>
      </w:pPr>
      <w:r>
        <w:rPr>
          <w:rFonts w:hint="eastAsia"/>
          <w:highlight w:val="none"/>
          <w:lang w:val="en-US" w:eastAsia="zh-CN"/>
        </w:rPr>
        <w:t>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内径/筒长/容积 900mm /1800mm /约1.3m3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最高工作压力 0.3Mpa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最高工作温度 145℃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电源电压 380V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锅体材质 S30408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锅体壁厚 4mm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占地面积 约长2500mm×宽1500mm×高2300mm </w:t>
      </w:r>
    </w:p>
    <w:p>
      <w:pPr>
        <w:pageBreakBefore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重量（空锅） 约1.5T </w:t>
      </w: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bidi w:val="0"/>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ind w:left="0" w:leftChars="0" w:firstLine="0" w:firstLineChars="0"/>
        <w:rPr>
          <w:highlight w:val="none"/>
        </w:rPr>
      </w:pPr>
    </w:p>
    <w:p>
      <w:pPr>
        <w:pStyle w:val="3"/>
        <w:numPr>
          <w:ilvl w:val="0"/>
          <w:numId w:val="0"/>
        </w:numPr>
        <w:spacing w:before="39" w:line="240" w:lineRule="auto"/>
        <w:ind w:right="0" w:rightChars="0" w:firstLine="2880" w:firstLineChars="800"/>
        <w:jc w:val="both"/>
        <w:rPr>
          <w:rFonts w:hint="eastAsia"/>
          <w:highlight w:val="none"/>
          <w:lang w:eastAsia="zh-CN"/>
        </w:rPr>
      </w:pPr>
      <w:r>
        <w:rPr>
          <w:rFonts w:hint="eastAsia"/>
          <w:highlight w:val="none"/>
          <w:lang w:eastAsia="zh-CN"/>
        </w:rPr>
        <w:t>第六章</w:t>
      </w:r>
      <w:r>
        <w:rPr>
          <w:rFonts w:hint="eastAsia"/>
          <w:highlight w:val="none"/>
          <w:lang w:val="en-US" w:eastAsia="zh-CN"/>
        </w:rPr>
        <w:t xml:space="preserve"> </w:t>
      </w:r>
      <w:r>
        <w:rPr>
          <w:rFonts w:hint="eastAsia"/>
          <w:highlight w:val="none"/>
          <w:lang w:eastAsia="zh-CN"/>
        </w:rPr>
        <w:t>投标文件格式</w:t>
      </w:r>
    </w:p>
    <w:p>
      <w:pPr>
        <w:jc w:val="center"/>
        <w:rPr>
          <w:rFonts w:eastAsia="黑体"/>
          <w:sz w:val="72"/>
          <w:szCs w:val="72"/>
          <w:highlight w:val="none"/>
        </w:rPr>
      </w:pPr>
    </w:p>
    <w:p>
      <w:pPr>
        <w:jc w:val="center"/>
        <w:rPr>
          <w:rFonts w:eastAsia="黑体"/>
          <w:sz w:val="28"/>
          <w:szCs w:val="28"/>
          <w:highlight w:val="none"/>
        </w:rPr>
      </w:pPr>
      <w:r>
        <w:rPr>
          <w:rFonts w:eastAsia="黑体"/>
          <w:sz w:val="28"/>
          <w:szCs w:val="28"/>
          <w:highlight w:val="none"/>
          <w:u w:val="single"/>
        </w:rPr>
        <w:t xml:space="preserve">      </w:t>
      </w:r>
      <w:r>
        <w:rPr>
          <w:rFonts w:hint="eastAsia" w:eastAsia="黑体"/>
          <w:sz w:val="28"/>
          <w:szCs w:val="28"/>
          <w:highlight w:val="none"/>
          <w:u w:val="single"/>
        </w:rPr>
        <w:t xml:space="preserve"> </w:t>
      </w:r>
      <w:r>
        <w:rPr>
          <w:rFonts w:eastAsia="黑体"/>
          <w:sz w:val="28"/>
          <w:szCs w:val="28"/>
          <w:highlight w:val="none"/>
          <w:u w:val="single"/>
        </w:rPr>
        <w:t xml:space="preserve"> </w:t>
      </w:r>
      <w:r>
        <w:rPr>
          <w:rFonts w:hint="eastAsia" w:eastAsia="黑体"/>
          <w:sz w:val="28"/>
          <w:szCs w:val="28"/>
          <w:highlight w:val="none"/>
          <w:u w:val="single"/>
        </w:rPr>
        <w:t xml:space="preserve">      </w:t>
      </w:r>
      <w:r>
        <w:rPr>
          <w:rFonts w:hint="eastAsia" w:eastAsia="黑体"/>
          <w:sz w:val="28"/>
          <w:szCs w:val="28"/>
          <w:highlight w:val="none"/>
          <w:u w:val="single"/>
          <w:lang w:val="en-US" w:eastAsia="zh-CN"/>
        </w:rPr>
        <w:t xml:space="preserve">                                             </w:t>
      </w:r>
      <w:r>
        <w:rPr>
          <w:rFonts w:hint="eastAsia" w:eastAsia="黑体"/>
          <w:sz w:val="28"/>
          <w:szCs w:val="28"/>
          <w:highlight w:val="none"/>
          <w:u w:val="single"/>
        </w:rPr>
        <w:t xml:space="preserve">   </w:t>
      </w:r>
      <w:r>
        <w:rPr>
          <w:rFonts w:eastAsia="黑体"/>
          <w:sz w:val="28"/>
          <w:szCs w:val="28"/>
          <w:highlight w:val="none"/>
          <w:u w:val="single"/>
        </w:rPr>
        <w:t xml:space="preserve">     </w:t>
      </w:r>
      <w:r>
        <w:rPr>
          <w:rFonts w:eastAsia="黑体"/>
          <w:sz w:val="28"/>
          <w:szCs w:val="28"/>
          <w:highlight w:val="none"/>
        </w:rPr>
        <w:t>（项目名称）</w:t>
      </w:r>
    </w:p>
    <w:p>
      <w:pPr>
        <w:jc w:val="center"/>
        <w:rPr>
          <w:rFonts w:eastAsia="黑体"/>
          <w:sz w:val="72"/>
          <w:szCs w:val="72"/>
          <w:highlight w:val="none"/>
        </w:rPr>
      </w:pPr>
    </w:p>
    <w:p>
      <w:pPr>
        <w:jc w:val="center"/>
        <w:rPr>
          <w:rFonts w:eastAsia="黑体"/>
          <w:sz w:val="72"/>
          <w:szCs w:val="72"/>
          <w:highlight w:val="none"/>
        </w:rPr>
      </w:pPr>
      <w:r>
        <w:rPr>
          <w:rFonts w:eastAsia="黑体"/>
          <w:sz w:val="72"/>
          <w:szCs w:val="72"/>
          <w:highlight w:val="none"/>
        </w:rPr>
        <w:t xml:space="preserve">投  标 </w:t>
      </w:r>
      <w:r>
        <w:rPr>
          <w:rFonts w:hint="eastAsia" w:eastAsia="黑体"/>
          <w:sz w:val="72"/>
          <w:szCs w:val="72"/>
          <w:highlight w:val="none"/>
        </w:rPr>
        <w:t xml:space="preserve"> </w:t>
      </w:r>
      <w:r>
        <w:rPr>
          <w:rFonts w:eastAsia="黑体"/>
          <w:sz w:val="72"/>
          <w:szCs w:val="72"/>
          <w:highlight w:val="none"/>
        </w:rPr>
        <w:t xml:space="preserve">文 </w:t>
      </w:r>
      <w:r>
        <w:rPr>
          <w:rFonts w:hint="eastAsia" w:eastAsia="黑体"/>
          <w:sz w:val="72"/>
          <w:szCs w:val="72"/>
          <w:highlight w:val="none"/>
        </w:rPr>
        <w:t xml:space="preserve"> </w:t>
      </w:r>
      <w:r>
        <w:rPr>
          <w:rFonts w:eastAsia="黑体"/>
          <w:sz w:val="72"/>
          <w:szCs w:val="72"/>
          <w:highlight w:val="none"/>
        </w:rPr>
        <w:t>件</w:t>
      </w:r>
    </w:p>
    <w:p>
      <w:pPr>
        <w:rPr>
          <w:rFonts w:hint="eastAsia" w:eastAsia="黑体"/>
          <w:sz w:val="28"/>
          <w:szCs w:val="28"/>
          <w:highlight w:val="none"/>
          <w:lang w:val="en-US" w:eastAsia="zh-CN"/>
        </w:rPr>
      </w:pPr>
      <w:r>
        <w:rPr>
          <w:rFonts w:hint="eastAsia" w:eastAsia="黑体"/>
          <w:sz w:val="28"/>
          <w:szCs w:val="28"/>
          <w:highlight w:val="none"/>
          <w:lang w:val="en-US" w:eastAsia="zh-CN"/>
        </w:rPr>
        <w:t xml:space="preserve">                </w:t>
      </w:r>
    </w:p>
    <w:p>
      <w:pPr>
        <w:spacing w:line="480" w:lineRule="exact"/>
        <w:ind w:firstLine="2250" w:firstLineChars="750"/>
        <w:rPr>
          <w:rFonts w:hint="eastAsia"/>
          <w:sz w:val="30"/>
          <w:szCs w:val="30"/>
          <w:highlight w:val="none"/>
        </w:rPr>
      </w:pPr>
      <w:r>
        <w:rPr>
          <w:rFonts w:hint="eastAsia"/>
          <w:sz w:val="30"/>
          <w:szCs w:val="30"/>
          <w:highlight w:val="none"/>
        </w:rPr>
        <w:t>项目编号：</w:t>
      </w:r>
    </w:p>
    <w:p>
      <w:pPr>
        <w:ind w:firstLine="2400" w:firstLineChars="800"/>
        <w:rPr>
          <w:rFonts w:hint="eastAsia"/>
          <w:sz w:val="30"/>
          <w:szCs w:val="30"/>
          <w:highlight w:val="none"/>
        </w:rPr>
      </w:pPr>
    </w:p>
    <w:p>
      <w:pPr>
        <w:ind w:firstLine="2400" w:firstLineChars="800"/>
        <w:rPr>
          <w:rFonts w:eastAsia="黑体"/>
          <w:sz w:val="28"/>
          <w:szCs w:val="28"/>
          <w:highlight w:val="none"/>
        </w:rPr>
      </w:pPr>
      <w:r>
        <w:rPr>
          <w:rFonts w:hint="eastAsia" w:eastAsia="宋体"/>
          <w:sz w:val="30"/>
          <w:szCs w:val="30"/>
          <w:highlight w:val="none"/>
          <w:lang w:eastAsia="zh-CN"/>
        </w:rPr>
        <w:t>包</w:t>
      </w:r>
      <w:r>
        <w:rPr>
          <w:rFonts w:hint="eastAsia" w:eastAsia="宋体"/>
          <w:sz w:val="30"/>
          <w:szCs w:val="30"/>
          <w:highlight w:val="none"/>
          <w:lang w:val="en-US" w:eastAsia="zh-CN"/>
        </w:rPr>
        <w:t xml:space="preserve">       </w:t>
      </w:r>
      <w:r>
        <w:rPr>
          <w:rFonts w:hint="eastAsia" w:eastAsia="宋体"/>
          <w:sz w:val="30"/>
          <w:szCs w:val="30"/>
          <w:highlight w:val="none"/>
          <w:lang w:eastAsia="zh-CN"/>
        </w:rPr>
        <w:t>号</w:t>
      </w:r>
      <w:r>
        <w:rPr>
          <w:rFonts w:hint="eastAsia"/>
          <w:sz w:val="30"/>
          <w:szCs w:val="30"/>
          <w:highlight w:val="none"/>
        </w:rPr>
        <w:t>：</w:t>
      </w: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pStyle w:val="24"/>
        <w:rPr>
          <w:rFonts w:eastAsia="黑体"/>
          <w:sz w:val="28"/>
          <w:szCs w:val="28"/>
          <w:highlight w:val="none"/>
        </w:rPr>
      </w:pPr>
    </w:p>
    <w:p>
      <w:pPr>
        <w:pStyle w:val="24"/>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eastAsia="黑体"/>
          <w:sz w:val="28"/>
          <w:szCs w:val="28"/>
          <w:highlight w:val="none"/>
        </w:rPr>
      </w:pPr>
    </w:p>
    <w:p>
      <w:pPr>
        <w:rPr>
          <w:rFonts w:hint="eastAsia" w:eastAsia="黑体"/>
          <w:sz w:val="28"/>
          <w:szCs w:val="28"/>
          <w:highlight w:val="none"/>
        </w:rPr>
      </w:pPr>
    </w:p>
    <w:p>
      <w:pPr>
        <w:pStyle w:val="2"/>
        <w:rPr>
          <w:rFonts w:hint="eastAsia" w:eastAsia="黑体"/>
          <w:sz w:val="28"/>
          <w:szCs w:val="28"/>
          <w:highlight w:val="none"/>
        </w:rPr>
      </w:pPr>
    </w:p>
    <w:p>
      <w:pPr>
        <w:rPr>
          <w:rFonts w:hint="eastAsia" w:eastAsia="黑体"/>
          <w:sz w:val="28"/>
          <w:szCs w:val="28"/>
          <w:highlight w:val="none"/>
        </w:rPr>
      </w:pPr>
    </w:p>
    <w:p>
      <w:pPr>
        <w:bidi w:val="0"/>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rPr>
          <w:rFonts w:hint="eastAsia" w:asciiTheme="majorEastAsia" w:hAnsiTheme="majorEastAsia" w:eastAsiaTheme="majorEastAsia" w:cstheme="majorEastAsia"/>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28"/>
          <w:szCs w:val="28"/>
          <w:highlight w:val="none"/>
          <w:u w:val="single"/>
        </w:rPr>
      </w:pPr>
      <w:r>
        <w:rPr>
          <w:rFonts w:hint="eastAsia" w:asciiTheme="majorEastAsia" w:hAnsiTheme="majorEastAsia" w:eastAsiaTheme="majorEastAsia" w:cstheme="majorEastAsia"/>
          <w:sz w:val="28"/>
          <w:szCs w:val="28"/>
          <w:highlight w:val="none"/>
          <w:lang w:eastAsia="zh-CN"/>
        </w:rPr>
        <w:t>供应商</w:t>
      </w:r>
      <w:r>
        <w:rPr>
          <w:rFonts w:hint="eastAsia" w:asciiTheme="majorEastAsia" w:hAnsiTheme="majorEastAsia" w:eastAsiaTheme="majorEastAsia" w:cstheme="majorEastAsia"/>
          <w:sz w:val="28"/>
          <w:szCs w:val="28"/>
          <w:highlight w:val="none"/>
        </w:rPr>
        <w:t>：</w:t>
      </w: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（盖单位公章）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法定代表人或其委托代理人：</w:t>
      </w: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年</w:t>
      </w: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月</w:t>
      </w: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日</w:t>
      </w:r>
    </w:p>
    <w:p>
      <w:pPr>
        <w:jc w:val="right"/>
        <w:rPr>
          <w:rFonts w:hint="eastAsia"/>
          <w:szCs w:val="21"/>
          <w:highlight w:val="none"/>
        </w:rPr>
      </w:pPr>
      <w:r>
        <w:rPr>
          <w:rFonts w:cs="Times New Roman"/>
          <w:highlight w:val="none"/>
        </w:rPr>
        <w:t>（</w:t>
      </w:r>
    </w:p>
    <w:p>
      <w:pPr>
        <w:spacing w:line="360" w:lineRule="auto"/>
        <w:rPr>
          <w:rFonts w:hint="eastAsia" w:ascii="宋体" w:hAnsi="宋体"/>
          <w:sz w:val="44"/>
          <w:szCs w:val="44"/>
          <w:highlight w:val="none"/>
        </w:rPr>
      </w:pPr>
      <w:bookmarkStart w:id="163" w:name="_Toc510212691"/>
    </w:p>
    <w:p>
      <w:pPr>
        <w:spacing w:line="360" w:lineRule="auto"/>
        <w:jc w:val="center"/>
        <w:rPr>
          <w:rFonts w:hint="eastAsia" w:ascii="宋体" w:hAnsi="宋体"/>
          <w:sz w:val="30"/>
          <w:szCs w:val="30"/>
          <w:highlight w:val="none"/>
        </w:rPr>
      </w:pPr>
      <w:r>
        <w:rPr>
          <w:rFonts w:hint="eastAsia" w:ascii="宋体" w:hAnsi="宋体"/>
          <w:sz w:val="44"/>
          <w:szCs w:val="44"/>
          <w:highlight w:val="none"/>
        </w:rPr>
        <w:t>目 录</w:t>
      </w:r>
    </w:p>
    <w:p>
      <w:pPr>
        <w:spacing w:line="480" w:lineRule="exact"/>
        <w:ind w:firstLine="2200" w:firstLineChars="1000"/>
        <w:jc w:val="center"/>
        <w:rPr>
          <w:rFonts w:hint="eastAsia" w:ascii="宋体" w:hAnsi="宋体"/>
          <w:szCs w:val="21"/>
          <w:highlight w:val="none"/>
        </w:rPr>
      </w:pPr>
    </w:p>
    <w:p>
      <w:pPr>
        <w:autoSpaceDE w:val="0"/>
        <w:autoSpaceDN w:val="0"/>
        <w:adjustRightInd w:val="0"/>
        <w:spacing w:line="360" w:lineRule="auto"/>
        <w:ind w:firstLine="565" w:firstLineChars="257"/>
        <w:jc w:val="left"/>
        <w:rPr>
          <w:rFonts w:ascii="宋体" w:hAnsi="宋体" w:cs="仿宋_GB2312"/>
          <w:kern w:val="0"/>
          <w:szCs w:val="21"/>
          <w:highlight w:val="none"/>
        </w:rPr>
      </w:pPr>
      <w:r>
        <w:rPr>
          <w:rFonts w:hint="eastAsia" w:ascii="宋体" w:hAnsi="宋体" w:cs="仿宋_GB2312"/>
          <w:kern w:val="0"/>
          <w:szCs w:val="21"/>
          <w:highlight w:val="none"/>
        </w:rPr>
        <w:t>一、投标函及</w:t>
      </w:r>
      <w:r>
        <w:rPr>
          <w:rFonts w:hint="eastAsia" w:ascii="宋体" w:hAnsi="宋体" w:eastAsia="宋体" w:cs="仿宋_GB2312"/>
          <w:kern w:val="0"/>
          <w:szCs w:val="21"/>
          <w:highlight w:val="none"/>
          <w:lang w:eastAsia="zh-CN"/>
        </w:rPr>
        <w:t>投标函附录</w:t>
      </w:r>
      <w:r>
        <w:rPr>
          <w:rFonts w:hint="eastAsia" w:ascii="宋体" w:hAnsi="宋体" w:cs="仿宋_GB2312"/>
          <w:kern w:val="0"/>
          <w:szCs w:val="21"/>
          <w:highlight w:val="none"/>
        </w:rPr>
        <w:t>；</w:t>
      </w:r>
    </w:p>
    <w:p>
      <w:pPr>
        <w:autoSpaceDE w:val="0"/>
        <w:autoSpaceDN w:val="0"/>
        <w:adjustRightInd w:val="0"/>
        <w:spacing w:line="360" w:lineRule="auto"/>
        <w:ind w:firstLine="565" w:firstLineChars="257"/>
        <w:jc w:val="left"/>
        <w:rPr>
          <w:rFonts w:hint="eastAsia" w:ascii="宋体" w:hAnsi="宋体" w:eastAsia="宋体" w:cs="仿宋_GB2312"/>
          <w:kern w:val="0"/>
          <w:szCs w:val="21"/>
          <w:highlight w:val="none"/>
          <w:lang w:eastAsia="zh-CN"/>
        </w:rPr>
      </w:pPr>
      <w:r>
        <w:rPr>
          <w:rFonts w:hint="eastAsia" w:ascii="宋体" w:hAnsi="宋体" w:cs="仿宋_GB2312"/>
          <w:kern w:val="0"/>
          <w:szCs w:val="21"/>
          <w:highlight w:val="none"/>
        </w:rPr>
        <w:t>二、法定代表人身份证明</w:t>
      </w:r>
      <w:r>
        <w:rPr>
          <w:rFonts w:hint="eastAsia" w:ascii="宋体" w:hAnsi="宋体" w:eastAsia="宋体" w:cs="仿宋_GB2312"/>
          <w:kern w:val="0"/>
          <w:szCs w:val="21"/>
          <w:highlight w:val="none"/>
          <w:lang w:eastAsia="zh-CN"/>
        </w:rPr>
        <w:t>；</w:t>
      </w:r>
    </w:p>
    <w:p>
      <w:pPr>
        <w:autoSpaceDE w:val="0"/>
        <w:autoSpaceDN w:val="0"/>
        <w:adjustRightInd w:val="0"/>
        <w:spacing w:line="360" w:lineRule="auto"/>
        <w:ind w:firstLine="565" w:firstLineChars="257"/>
        <w:jc w:val="left"/>
        <w:rPr>
          <w:rFonts w:hint="eastAsia" w:ascii="宋体" w:hAnsi="宋体" w:cs="仿宋_GB2312"/>
          <w:kern w:val="0"/>
          <w:szCs w:val="21"/>
          <w:highlight w:val="none"/>
        </w:rPr>
      </w:pPr>
      <w:r>
        <w:rPr>
          <w:rFonts w:hint="eastAsia" w:ascii="宋体" w:hAnsi="宋体" w:cs="仿宋_GB2312"/>
          <w:kern w:val="0"/>
          <w:szCs w:val="21"/>
          <w:highlight w:val="none"/>
        </w:rPr>
        <w:t>三、授权委托书；</w:t>
      </w:r>
    </w:p>
    <w:p>
      <w:pPr>
        <w:autoSpaceDE w:val="0"/>
        <w:autoSpaceDN w:val="0"/>
        <w:adjustRightInd w:val="0"/>
        <w:spacing w:line="360" w:lineRule="auto"/>
        <w:ind w:firstLine="440" w:firstLineChars="200"/>
        <w:jc w:val="left"/>
        <w:rPr>
          <w:rFonts w:ascii="宋体" w:hAnsi="宋体" w:cs="仿宋_GB2312"/>
          <w:kern w:val="0"/>
          <w:szCs w:val="21"/>
          <w:highlight w:val="none"/>
        </w:rPr>
      </w:pPr>
      <w:r>
        <w:rPr>
          <w:rFonts w:hint="eastAsia" w:ascii="宋体" w:hAnsi="宋体" w:cs="仿宋_GB2312"/>
          <w:kern w:val="0"/>
          <w:szCs w:val="21"/>
          <w:highlight w:val="none"/>
        </w:rPr>
        <w:t xml:space="preserve"> 四、投标报价明细表；</w:t>
      </w:r>
    </w:p>
    <w:p>
      <w:pPr>
        <w:autoSpaceDE w:val="0"/>
        <w:autoSpaceDN w:val="0"/>
        <w:adjustRightInd w:val="0"/>
        <w:spacing w:line="360" w:lineRule="auto"/>
        <w:ind w:firstLine="565" w:firstLineChars="257"/>
        <w:jc w:val="left"/>
        <w:rPr>
          <w:rFonts w:hint="eastAsia" w:ascii="宋体" w:hAnsi="宋体" w:cs="仿宋_GB2312"/>
          <w:kern w:val="0"/>
          <w:szCs w:val="21"/>
          <w:highlight w:val="none"/>
        </w:rPr>
      </w:pPr>
      <w:r>
        <w:rPr>
          <w:rFonts w:hint="eastAsia" w:ascii="宋体" w:hAnsi="宋体" w:cs="仿宋_GB2312"/>
          <w:kern w:val="0"/>
          <w:szCs w:val="21"/>
          <w:highlight w:val="none"/>
        </w:rPr>
        <w:t>五、资格审查资料；</w:t>
      </w:r>
    </w:p>
    <w:p>
      <w:pPr>
        <w:adjustRightInd w:val="0"/>
        <w:spacing w:line="360" w:lineRule="auto"/>
        <w:ind w:firstLine="565" w:firstLineChars="257"/>
        <w:rPr>
          <w:rFonts w:hint="eastAsia" w:ascii="宋体" w:hAnsi="宋体" w:cs="仿宋_GB2312"/>
          <w:kern w:val="0"/>
          <w:szCs w:val="21"/>
          <w:highlight w:val="none"/>
        </w:rPr>
      </w:pPr>
      <w:r>
        <w:rPr>
          <w:rFonts w:hint="eastAsia" w:ascii="宋体" w:hAnsi="宋体" w:cs="仿宋_GB2312"/>
          <w:kern w:val="0"/>
          <w:szCs w:val="21"/>
          <w:highlight w:val="none"/>
        </w:rPr>
        <w:t>六、项目实施方案；</w:t>
      </w:r>
    </w:p>
    <w:p>
      <w:pPr>
        <w:adjustRightInd w:val="0"/>
        <w:spacing w:line="360" w:lineRule="auto"/>
        <w:ind w:firstLine="565" w:firstLineChars="257"/>
        <w:rPr>
          <w:rFonts w:hint="eastAsia" w:cs="仿宋_GB2312"/>
          <w:szCs w:val="21"/>
          <w:highlight w:val="none"/>
        </w:rPr>
      </w:pPr>
      <w:r>
        <w:rPr>
          <w:rFonts w:hint="eastAsia" w:cs="仿宋_GB2312"/>
          <w:szCs w:val="21"/>
          <w:highlight w:val="none"/>
        </w:rPr>
        <w:t>七、服务方案及承诺；</w:t>
      </w:r>
    </w:p>
    <w:p>
      <w:pPr>
        <w:adjustRightInd w:val="0"/>
        <w:spacing w:line="360" w:lineRule="auto"/>
        <w:ind w:firstLine="565" w:firstLineChars="257"/>
        <w:rPr>
          <w:rFonts w:hint="eastAsia" w:cs="仿宋_GB2312"/>
          <w:szCs w:val="21"/>
          <w:highlight w:val="none"/>
        </w:rPr>
      </w:pPr>
      <w:r>
        <w:rPr>
          <w:rFonts w:hint="eastAsia" w:cs="仿宋_GB2312"/>
          <w:szCs w:val="21"/>
          <w:highlight w:val="none"/>
        </w:rPr>
        <w:t>八、技术参数审查表；</w:t>
      </w:r>
    </w:p>
    <w:p>
      <w:pPr>
        <w:adjustRightInd w:val="0"/>
        <w:spacing w:line="360" w:lineRule="auto"/>
        <w:ind w:firstLine="565" w:firstLineChars="257"/>
        <w:rPr>
          <w:rFonts w:hint="eastAsia" w:cs="仿宋_GB2312"/>
          <w:szCs w:val="21"/>
          <w:highlight w:val="none"/>
        </w:rPr>
      </w:pPr>
      <w:r>
        <w:rPr>
          <w:rFonts w:hint="eastAsia" w:cs="仿宋_GB2312"/>
          <w:szCs w:val="21"/>
          <w:highlight w:val="none"/>
        </w:rPr>
        <w:t>九、反商业贿赂承诺书；</w:t>
      </w:r>
    </w:p>
    <w:p>
      <w:pPr>
        <w:adjustRightInd w:val="0"/>
        <w:spacing w:line="360" w:lineRule="auto"/>
        <w:ind w:firstLine="565" w:firstLineChars="257"/>
        <w:rPr>
          <w:rFonts w:hint="eastAsia" w:ascii="宋体" w:hAnsi="宋体" w:cs="仿宋_GB2312"/>
          <w:kern w:val="0"/>
          <w:szCs w:val="21"/>
          <w:highlight w:val="none"/>
        </w:rPr>
      </w:pPr>
      <w:r>
        <w:rPr>
          <w:rFonts w:hint="eastAsia" w:cs="仿宋_GB2312"/>
          <w:szCs w:val="21"/>
          <w:highlight w:val="none"/>
        </w:rPr>
        <w:t>十、其他；</w:t>
      </w:r>
    </w:p>
    <w:p>
      <w:pPr>
        <w:autoSpaceDE w:val="0"/>
        <w:autoSpaceDN w:val="0"/>
        <w:adjustRightInd w:val="0"/>
        <w:spacing w:line="360" w:lineRule="auto"/>
        <w:ind w:firstLine="565" w:firstLineChars="257"/>
        <w:jc w:val="left"/>
        <w:rPr>
          <w:rFonts w:hint="eastAsia" w:ascii="宋体" w:hAnsi="宋体" w:cs="仿宋_GB2312"/>
          <w:kern w:val="0"/>
          <w:szCs w:val="21"/>
          <w:highlight w:val="none"/>
        </w:rPr>
      </w:pPr>
    </w:p>
    <w:p>
      <w:pPr>
        <w:autoSpaceDE w:val="0"/>
        <w:autoSpaceDN w:val="0"/>
        <w:adjustRightInd w:val="0"/>
        <w:spacing w:line="360" w:lineRule="auto"/>
        <w:ind w:firstLine="565" w:firstLineChars="257"/>
        <w:jc w:val="left"/>
        <w:rPr>
          <w:rFonts w:hint="eastAsia" w:ascii="宋体" w:hAnsi="宋体" w:cs="仿宋_GB2312"/>
          <w:kern w:val="0"/>
          <w:szCs w:val="21"/>
          <w:highlight w:val="none"/>
        </w:rPr>
      </w:pPr>
    </w:p>
    <w:p>
      <w:pPr>
        <w:pStyle w:val="6"/>
        <w:rPr>
          <w:rFonts w:hint="eastAsia" w:cs="仿宋_GB2312"/>
          <w:kern w:val="0"/>
          <w:szCs w:val="21"/>
          <w:highlight w:val="none"/>
        </w:rPr>
      </w:pPr>
    </w:p>
    <w:p>
      <w:pPr>
        <w:autoSpaceDE w:val="0"/>
        <w:autoSpaceDN w:val="0"/>
        <w:adjustRightInd w:val="0"/>
        <w:spacing w:line="360" w:lineRule="auto"/>
        <w:ind w:firstLine="565" w:firstLineChars="257"/>
        <w:jc w:val="left"/>
        <w:rPr>
          <w:rFonts w:hint="eastAsia" w:ascii="宋体" w:hAnsi="宋体" w:cs="仿宋_GB2312"/>
          <w:kern w:val="0"/>
          <w:szCs w:val="21"/>
          <w:highlight w:val="none"/>
        </w:rPr>
      </w:pPr>
    </w:p>
    <w:p>
      <w:pPr>
        <w:spacing w:line="480" w:lineRule="exact"/>
        <w:rPr>
          <w:rFonts w:hint="eastAsia" w:ascii="宋体" w:hAnsi="宋体"/>
          <w:szCs w:val="21"/>
          <w:highlight w:val="none"/>
        </w:rPr>
      </w:pPr>
    </w:p>
    <w:p>
      <w:pPr>
        <w:spacing w:line="480" w:lineRule="exact"/>
        <w:ind w:firstLine="2200" w:firstLineChars="1000"/>
        <w:rPr>
          <w:rFonts w:hint="eastAsia" w:ascii="宋体" w:hAnsi="宋体"/>
          <w:szCs w:val="21"/>
          <w:highlight w:val="none"/>
        </w:rPr>
      </w:pPr>
    </w:p>
    <w:p>
      <w:pPr>
        <w:rPr>
          <w:rFonts w:hint="eastAsia"/>
          <w:highlight w:val="none"/>
        </w:rPr>
      </w:pPr>
    </w:p>
    <w:p>
      <w:pPr>
        <w:spacing w:line="480" w:lineRule="exact"/>
        <w:ind w:firstLine="2200" w:firstLineChars="1000"/>
        <w:rPr>
          <w:rFonts w:hint="eastAsia" w:ascii="宋体" w:hAnsi="宋体"/>
          <w:szCs w:val="21"/>
          <w:highlight w:val="none"/>
        </w:rPr>
      </w:pPr>
    </w:p>
    <w:p>
      <w:pPr>
        <w:spacing w:line="480" w:lineRule="exact"/>
        <w:ind w:firstLine="2200" w:firstLineChars="1000"/>
        <w:rPr>
          <w:rFonts w:hint="eastAsia" w:ascii="宋体" w:hAnsi="宋体"/>
          <w:szCs w:val="21"/>
          <w:highlight w:val="none"/>
        </w:rPr>
      </w:pPr>
    </w:p>
    <w:p>
      <w:pPr>
        <w:spacing w:line="480" w:lineRule="exact"/>
        <w:ind w:firstLine="2200" w:firstLineChars="1000"/>
        <w:rPr>
          <w:rFonts w:hint="eastAsia" w:ascii="宋体" w:hAnsi="宋体"/>
          <w:szCs w:val="21"/>
          <w:highlight w:val="none"/>
        </w:rPr>
      </w:pPr>
    </w:p>
    <w:p>
      <w:pPr>
        <w:spacing w:line="480" w:lineRule="exact"/>
        <w:ind w:firstLine="2200" w:firstLineChars="1000"/>
        <w:rPr>
          <w:rFonts w:hint="eastAsia" w:ascii="宋体" w:hAnsi="宋体"/>
          <w:szCs w:val="21"/>
          <w:highlight w:val="none"/>
        </w:rPr>
      </w:pPr>
    </w:p>
    <w:p>
      <w:pPr>
        <w:bidi w:val="0"/>
        <w:rPr>
          <w:rFonts w:hint="eastAsia"/>
          <w:highlight w:val="none"/>
        </w:rPr>
      </w:pPr>
    </w:p>
    <w:p>
      <w:pPr>
        <w:spacing w:line="480" w:lineRule="exact"/>
        <w:ind w:firstLine="2200" w:firstLineChars="1000"/>
        <w:rPr>
          <w:rFonts w:hint="eastAsia" w:ascii="宋体" w:hAnsi="宋体"/>
          <w:szCs w:val="21"/>
          <w:highlight w:val="none"/>
        </w:rPr>
      </w:pPr>
    </w:p>
    <w:p>
      <w:pPr>
        <w:spacing w:line="480" w:lineRule="exact"/>
        <w:ind w:firstLine="2200" w:firstLineChars="1000"/>
        <w:rPr>
          <w:rFonts w:hint="eastAsia" w:ascii="宋体" w:hAnsi="宋体"/>
          <w:szCs w:val="21"/>
          <w:highlight w:val="none"/>
        </w:rPr>
      </w:pPr>
    </w:p>
    <w:p>
      <w:pPr>
        <w:spacing w:line="480" w:lineRule="exact"/>
        <w:ind w:firstLine="2200" w:firstLineChars="1000"/>
        <w:rPr>
          <w:rFonts w:hint="eastAsia" w:ascii="宋体" w:hAnsi="宋体"/>
          <w:szCs w:val="21"/>
          <w:highlight w:val="none"/>
        </w:rPr>
      </w:pPr>
    </w:p>
    <w:p>
      <w:pPr>
        <w:bidi w:val="0"/>
        <w:rPr>
          <w:rFonts w:hint="eastAsia"/>
          <w:highlight w:val="none"/>
        </w:rPr>
      </w:pPr>
      <w:bookmarkStart w:id="164" w:name="_Toc354753295"/>
    </w:p>
    <w:p>
      <w:pPr>
        <w:rPr>
          <w:rFonts w:hint="eastAsia"/>
          <w:highlight w:val="none"/>
        </w:rPr>
      </w:pPr>
    </w:p>
    <w:p>
      <w:pPr>
        <w:pStyle w:val="2"/>
        <w:rPr>
          <w:rFonts w:hint="eastAsia"/>
          <w:highlight w:val="none"/>
        </w:rPr>
      </w:pPr>
    </w:p>
    <w:p>
      <w:pPr>
        <w:pStyle w:val="24"/>
        <w:rPr>
          <w:rFonts w:hint="eastAsia"/>
          <w:highlight w:val="none"/>
        </w:rPr>
      </w:pPr>
    </w:p>
    <w:p>
      <w:pPr>
        <w:pStyle w:val="2"/>
        <w:keepNext w:val="0"/>
        <w:keepLines w:val="0"/>
        <w:pageBreakBefore w:val="0"/>
        <w:widowControl w:val="0"/>
        <w:numPr>
          <w:ilvl w:val="0"/>
          <w:numId w:val="13"/>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highlight w:val="none"/>
        </w:rPr>
      </w:pPr>
      <w:r>
        <w:rPr>
          <w:rFonts w:hint="eastAsia" w:ascii="宋体" w:hAnsi="宋体" w:eastAsia="宋体" w:cs="宋体"/>
          <w:b/>
          <w:bCs/>
          <w:highlight w:val="none"/>
        </w:rPr>
        <w:t>投标函</w:t>
      </w:r>
      <w:bookmarkEnd w:id="164"/>
      <w:r>
        <w:rPr>
          <w:rFonts w:hint="eastAsia" w:ascii="宋体" w:hAnsi="宋体" w:eastAsia="宋体" w:cs="宋体"/>
          <w:b/>
          <w:bCs/>
          <w:highlight w:val="none"/>
        </w:rPr>
        <w:t>及</w:t>
      </w:r>
      <w:r>
        <w:rPr>
          <w:rFonts w:hint="eastAsia" w:ascii="宋体" w:hAnsi="宋体" w:eastAsia="宋体" w:cs="宋体"/>
          <w:b/>
          <w:bCs/>
          <w:highlight w:val="none"/>
          <w:lang w:eastAsia="zh-CN"/>
        </w:rPr>
        <w:t>投标函附录</w:t>
      </w:r>
    </w:p>
    <w:p>
      <w:pPr>
        <w:pStyle w:val="4"/>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sz w:val="30"/>
          <w:szCs w:val="30"/>
          <w:highlight w:val="none"/>
        </w:rPr>
      </w:pPr>
      <w:r>
        <w:rPr>
          <w:rFonts w:hint="eastAsia"/>
          <w:b w:val="0"/>
          <w:bCs w:val="0"/>
          <w:sz w:val="30"/>
          <w:szCs w:val="30"/>
          <w:highlight w:val="none"/>
        </w:rPr>
        <w:t>（一）投标函</w:t>
      </w:r>
    </w:p>
    <w:p>
      <w:pPr>
        <w:autoSpaceDE w:val="0"/>
        <w:autoSpaceDN w:val="0"/>
        <w:adjustRightInd w:val="0"/>
        <w:spacing w:line="420" w:lineRule="exact"/>
        <w:jc w:val="left"/>
        <w:rPr>
          <w:rFonts w:hint="eastAsia" w:ascii="宋体" w:hAnsi="宋体" w:cs="仿宋_GB2312"/>
          <w:kern w:val="0"/>
          <w:szCs w:val="21"/>
          <w:highlight w:val="none"/>
        </w:rPr>
      </w:pPr>
      <w:r>
        <w:rPr>
          <w:rFonts w:hint="eastAsia" w:ascii="宋体" w:hAnsi="宋体" w:eastAsia="宋体" w:cs="仿宋_GB2312"/>
          <w:kern w:val="0"/>
          <w:szCs w:val="21"/>
          <w:highlight w:val="none"/>
          <w:lang w:eastAsia="zh-CN"/>
        </w:rPr>
        <w:t>致：</w:t>
      </w:r>
      <w:r>
        <w:rPr>
          <w:rFonts w:hint="eastAsia" w:ascii="宋体" w:hAnsi="宋体" w:cs="仿宋_GB2312"/>
          <w:kern w:val="0"/>
          <w:szCs w:val="21"/>
          <w:highlight w:val="none"/>
          <w:u w:val="single"/>
        </w:rPr>
        <w:t>（招标人名称）</w:t>
      </w:r>
    </w:p>
    <w:p>
      <w:pPr>
        <w:autoSpaceDE w:val="0"/>
        <w:autoSpaceDN w:val="0"/>
        <w:adjustRightInd w:val="0"/>
        <w:spacing w:line="500" w:lineRule="exact"/>
        <w:ind w:firstLine="565" w:firstLineChars="257"/>
        <w:jc w:val="left"/>
        <w:rPr>
          <w:rFonts w:hint="eastAsia" w:ascii="宋体" w:hAnsi="宋体" w:cs="仿宋_GB2312"/>
          <w:kern w:val="0"/>
          <w:szCs w:val="21"/>
          <w:highlight w:val="none"/>
        </w:rPr>
      </w:pPr>
      <w:r>
        <w:rPr>
          <w:rFonts w:hint="eastAsia" w:ascii="宋体" w:hAnsi="宋体" w:cs="TimesNewRomanPSMT"/>
          <w:kern w:val="0"/>
          <w:szCs w:val="21"/>
          <w:highlight w:val="none"/>
        </w:rPr>
        <w:t>1</w:t>
      </w:r>
      <w:r>
        <w:rPr>
          <w:rFonts w:hint="eastAsia" w:ascii="宋体" w:hAnsi="宋体" w:cs="仿宋_GB2312"/>
          <w:kern w:val="0"/>
          <w:szCs w:val="21"/>
          <w:highlight w:val="none"/>
        </w:rPr>
        <w:t>．</w:t>
      </w:r>
      <w:r>
        <w:rPr>
          <w:rFonts w:hint="eastAsia" w:ascii="宋体" w:hAnsi="宋体" w:cs="仿宋_GB2312"/>
          <w:szCs w:val="21"/>
          <w:highlight w:val="none"/>
        </w:rPr>
        <w:t>我方已仔细研究了</w:t>
      </w:r>
      <w:r>
        <w:rPr>
          <w:rFonts w:hint="eastAsia" w:ascii="宋体" w:hAnsi="宋体" w:cs="仿宋_GB2312"/>
          <w:szCs w:val="21"/>
          <w:highlight w:val="none"/>
          <w:u w:val="single"/>
        </w:rPr>
        <w:t>（项目名称+</w:t>
      </w:r>
      <w:r>
        <w:rPr>
          <w:rFonts w:hint="eastAsia" w:ascii="宋体" w:hAnsi="宋体" w:eastAsia="宋体" w:cs="仿宋_GB2312"/>
          <w:szCs w:val="21"/>
          <w:highlight w:val="none"/>
          <w:u w:val="single"/>
          <w:lang w:eastAsia="zh-CN"/>
        </w:rPr>
        <w:t>包号</w:t>
      </w:r>
      <w:r>
        <w:rPr>
          <w:rFonts w:hint="eastAsia" w:ascii="宋体" w:hAnsi="宋体" w:cs="仿宋_GB2312"/>
          <w:szCs w:val="21"/>
          <w:highlight w:val="none"/>
          <w:u w:val="single"/>
        </w:rPr>
        <w:t>）</w:t>
      </w:r>
      <w:r>
        <w:rPr>
          <w:rFonts w:hint="eastAsia" w:ascii="宋体" w:hAnsi="宋体" w:cs="仿宋_GB2312"/>
          <w:szCs w:val="21"/>
          <w:highlight w:val="none"/>
        </w:rPr>
        <w:t>招标文件的全部内容，愿意以人民币（大写</w:t>
      </w:r>
      <w:r>
        <w:rPr>
          <w:rFonts w:hint="eastAsia" w:ascii="宋体" w:hAnsi="宋体" w:cs="仿宋_GB2312"/>
          <w:szCs w:val="21"/>
          <w:highlight w:val="none"/>
          <w:u w:val="single"/>
        </w:rPr>
        <w:t xml:space="preserve">         </w:t>
      </w:r>
      <w:r>
        <w:rPr>
          <w:rFonts w:hint="eastAsia" w:ascii="宋体" w:hAnsi="宋体" w:cs="仿宋_GB2312"/>
          <w:szCs w:val="21"/>
          <w:highlight w:val="none"/>
        </w:rPr>
        <w:t>）（</w:t>
      </w:r>
      <w:r>
        <w:rPr>
          <w:rFonts w:hint="eastAsia" w:ascii="宋体" w:hAnsi="宋体" w:cs="TimesNewRomanPSMT"/>
          <w:szCs w:val="21"/>
          <w:highlight w:val="none"/>
        </w:rPr>
        <w:t>¥</w:t>
      </w:r>
      <w:r>
        <w:rPr>
          <w:rFonts w:hint="eastAsia" w:ascii="宋体" w:hAnsi="宋体" w:cs="仿宋_GB2312"/>
          <w:szCs w:val="21"/>
          <w:highlight w:val="none"/>
          <w:u w:val="single"/>
        </w:rPr>
        <w:t xml:space="preserve">         </w:t>
      </w:r>
      <w:r>
        <w:rPr>
          <w:rFonts w:hint="eastAsia" w:ascii="宋体" w:hAnsi="宋体" w:cs="仿宋_GB2312"/>
          <w:szCs w:val="21"/>
          <w:highlight w:val="none"/>
        </w:rPr>
        <w:t>）的投标总报价，</w:t>
      </w:r>
      <w:r>
        <w:rPr>
          <w:rFonts w:hint="eastAsia" w:ascii="宋体" w:hAnsi="宋体" w:eastAsia="宋体" w:cs="仿宋_GB2312"/>
          <w:szCs w:val="21"/>
          <w:highlight w:val="none"/>
          <w:lang w:eastAsia="zh-CN"/>
        </w:rPr>
        <w:t>交货及安装期</w:t>
      </w:r>
      <w:r>
        <w:rPr>
          <w:rFonts w:hint="eastAsia" w:ascii="宋体" w:hAnsi="宋体" w:cs="仿宋_GB2312"/>
          <w:szCs w:val="21"/>
          <w:highlight w:val="none"/>
          <w:u w:val="single"/>
        </w:rPr>
        <w:t xml:space="preserve"> </w:t>
      </w:r>
      <w:r>
        <w:rPr>
          <w:rFonts w:hint="eastAsia" w:ascii="宋体" w:hAnsi="宋体" w:eastAsia="宋体" w:cs="仿宋_GB2312"/>
          <w:szCs w:val="21"/>
          <w:highlight w:val="none"/>
          <w:u w:val="single"/>
          <w:lang w:val="en-US" w:eastAsia="zh-CN"/>
        </w:rPr>
        <w:t xml:space="preserve">   </w:t>
      </w:r>
      <w:r>
        <w:rPr>
          <w:rFonts w:hint="eastAsia" w:ascii="宋体" w:hAnsi="宋体" w:cs="仿宋_GB2312"/>
          <w:szCs w:val="21"/>
          <w:highlight w:val="none"/>
          <w:u w:val="single"/>
        </w:rPr>
        <w:t xml:space="preserve">    </w:t>
      </w:r>
      <w:r>
        <w:rPr>
          <w:rFonts w:hint="eastAsia" w:ascii="宋体" w:hAnsi="宋体" w:cs="仿宋_GB2312"/>
          <w:szCs w:val="21"/>
          <w:highlight w:val="none"/>
        </w:rPr>
        <w:t>，按合同约定实施和完成承包</w:t>
      </w:r>
      <w:r>
        <w:rPr>
          <w:rFonts w:hint="eastAsia" w:ascii="宋体" w:hAnsi="宋体" w:eastAsia="宋体" w:cs="仿宋_GB2312"/>
          <w:szCs w:val="21"/>
          <w:highlight w:val="none"/>
          <w:lang w:eastAsia="zh-CN"/>
        </w:rPr>
        <w:t>项目</w:t>
      </w:r>
      <w:r>
        <w:rPr>
          <w:rFonts w:hint="eastAsia" w:ascii="宋体" w:hAnsi="宋体" w:cs="仿宋_GB2312"/>
          <w:szCs w:val="21"/>
          <w:highlight w:val="none"/>
        </w:rPr>
        <w:t>，质量达到</w:t>
      </w:r>
      <w:r>
        <w:rPr>
          <w:rFonts w:hint="eastAsia" w:ascii="宋体" w:hAnsi="宋体" w:cs="仿宋_GB2312"/>
          <w:szCs w:val="21"/>
          <w:highlight w:val="none"/>
          <w:u w:val="single"/>
        </w:rPr>
        <w:t xml:space="preserve">    </w:t>
      </w:r>
      <w:r>
        <w:rPr>
          <w:rFonts w:hint="eastAsia" w:ascii="宋体" w:hAnsi="宋体" w:eastAsia="宋体" w:cs="仿宋_GB2312"/>
          <w:szCs w:val="21"/>
          <w:highlight w:val="none"/>
          <w:u w:val="single"/>
          <w:lang w:val="en-US" w:eastAsia="zh-CN"/>
        </w:rPr>
        <w:t xml:space="preserve">   </w:t>
      </w:r>
      <w:r>
        <w:rPr>
          <w:rFonts w:hint="eastAsia" w:ascii="宋体" w:hAnsi="宋体" w:cs="仿宋_GB2312"/>
          <w:szCs w:val="21"/>
          <w:highlight w:val="none"/>
          <w:u w:val="single"/>
        </w:rPr>
        <w:t xml:space="preserve">  </w:t>
      </w:r>
      <w:r>
        <w:rPr>
          <w:rFonts w:hint="eastAsia" w:ascii="宋体" w:hAnsi="宋体" w:cs="仿宋_GB2312"/>
          <w:szCs w:val="21"/>
          <w:highlight w:val="none"/>
        </w:rPr>
        <w:t>。</w:t>
      </w:r>
    </w:p>
    <w:p>
      <w:pPr>
        <w:autoSpaceDE w:val="0"/>
        <w:autoSpaceDN w:val="0"/>
        <w:adjustRightInd w:val="0"/>
        <w:spacing w:line="500" w:lineRule="exact"/>
        <w:ind w:firstLine="565" w:firstLineChars="257"/>
        <w:jc w:val="left"/>
        <w:rPr>
          <w:rFonts w:hint="eastAsia" w:ascii="宋体" w:hAnsi="宋体" w:cs="仿宋_GB2312"/>
          <w:kern w:val="0"/>
          <w:szCs w:val="21"/>
          <w:highlight w:val="none"/>
        </w:rPr>
      </w:pPr>
      <w:r>
        <w:rPr>
          <w:rFonts w:hint="eastAsia" w:ascii="宋体" w:hAnsi="宋体" w:cs="TimesNewRomanPSMT"/>
          <w:kern w:val="0"/>
          <w:szCs w:val="21"/>
          <w:highlight w:val="none"/>
        </w:rPr>
        <w:t>2</w:t>
      </w:r>
      <w:r>
        <w:rPr>
          <w:rFonts w:hint="eastAsia" w:ascii="宋体" w:hAnsi="宋体" w:cs="仿宋_GB2312"/>
          <w:kern w:val="0"/>
          <w:szCs w:val="21"/>
          <w:highlight w:val="none"/>
        </w:rPr>
        <w:t>．我方承诺在投标有效期</w:t>
      </w:r>
      <w:r>
        <w:rPr>
          <w:rFonts w:hint="eastAsia" w:ascii="宋体" w:hAnsi="宋体" w:cs="仿宋_GB2312"/>
          <w:szCs w:val="21"/>
          <w:highlight w:val="none"/>
          <w:u w:val="single"/>
        </w:rPr>
        <w:t xml:space="preserve">      </w:t>
      </w:r>
      <w:r>
        <w:rPr>
          <w:rFonts w:hint="eastAsia" w:ascii="宋体" w:hAnsi="宋体" w:cs="仿宋_GB2312"/>
          <w:kern w:val="0"/>
          <w:szCs w:val="21"/>
          <w:highlight w:val="none"/>
        </w:rPr>
        <w:t>日历天内不修改、撤销投标文件。</w:t>
      </w:r>
    </w:p>
    <w:p>
      <w:pPr>
        <w:autoSpaceDE w:val="0"/>
        <w:autoSpaceDN w:val="0"/>
        <w:adjustRightInd w:val="0"/>
        <w:spacing w:line="500" w:lineRule="exact"/>
        <w:ind w:firstLine="565" w:firstLineChars="257"/>
        <w:jc w:val="left"/>
        <w:rPr>
          <w:rFonts w:hint="eastAsia" w:ascii="宋体" w:hAnsi="宋体" w:cs="仿宋_GB2312"/>
          <w:kern w:val="0"/>
          <w:szCs w:val="21"/>
          <w:highlight w:val="none"/>
        </w:rPr>
      </w:pPr>
      <w:r>
        <w:rPr>
          <w:rFonts w:hint="eastAsia" w:ascii="宋体" w:hAnsi="宋体" w:eastAsia="宋体" w:cs="TimesNewRomanPSMT"/>
          <w:kern w:val="0"/>
          <w:szCs w:val="21"/>
          <w:highlight w:val="none"/>
          <w:lang w:val="en-US" w:eastAsia="zh-CN"/>
        </w:rPr>
        <w:t>3</w:t>
      </w:r>
      <w:r>
        <w:rPr>
          <w:rFonts w:hint="eastAsia" w:ascii="宋体" w:hAnsi="宋体" w:cs="仿宋_GB2312"/>
          <w:kern w:val="0"/>
          <w:szCs w:val="21"/>
          <w:highlight w:val="none"/>
        </w:rPr>
        <w:t>．如我方中标：</w:t>
      </w:r>
    </w:p>
    <w:p>
      <w:pPr>
        <w:autoSpaceDE w:val="0"/>
        <w:autoSpaceDN w:val="0"/>
        <w:adjustRightInd w:val="0"/>
        <w:spacing w:line="500" w:lineRule="exact"/>
        <w:ind w:firstLine="565" w:firstLineChars="257"/>
        <w:jc w:val="left"/>
        <w:rPr>
          <w:rFonts w:hint="eastAsia" w:ascii="宋体" w:hAnsi="宋体" w:cs="TimesNewRomanPSMT"/>
          <w:kern w:val="0"/>
          <w:szCs w:val="21"/>
          <w:highlight w:val="none"/>
        </w:rPr>
      </w:pPr>
      <w:r>
        <w:rPr>
          <w:rFonts w:hint="eastAsia" w:ascii="宋体" w:hAnsi="宋体" w:cs="TimesNewRomanPSMT"/>
          <w:kern w:val="0"/>
          <w:szCs w:val="21"/>
          <w:highlight w:val="none"/>
        </w:rPr>
        <w:t>（1）我方承诺在收到中标通知书后，在中标通知书规定的期限内与你方签订合同。</w:t>
      </w:r>
    </w:p>
    <w:p>
      <w:pPr>
        <w:autoSpaceDE w:val="0"/>
        <w:autoSpaceDN w:val="0"/>
        <w:adjustRightInd w:val="0"/>
        <w:spacing w:line="500" w:lineRule="exact"/>
        <w:ind w:firstLine="565" w:firstLineChars="257"/>
        <w:jc w:val="left"/>
        <w:rPr>
          <w:rFonts w:hint="eastAsia" w:ascii="宋体" w:hAnsi="宋体" w:cs="TimesNewRomanPSMT"/>
          <w:kern w:val="0"/>
          <w:szCs w:val="21"/>
          <w:highlight w:val="none"/>
        </w:rPr>
      </w:pPr>
      <w:r>
        <w:rPr>
          <w:rFonts w:hint="eastAsia" w:ascii="宋体" w:hAnsi="宋体" w:cs="TimesNewRomanPSMT"/>
          <w:kern w:val="0"/>
          <w:szCs w:val="21"/>
          <w:highlight w:val="none"/>
        </w:rPr>
        <w:t>（2）随同本投标函递交的投标函附录属于合同文件的组成部分，对我方构成约束力。</w:t>
      </w:r>
    </w:p>
    <w:p>
      <w:pPr>
        <w:autoSpaceDE w:val="0"/>
        <w:autoSpaceDN w:val="0"/>
        <w:adjustRightInd w:val="0"/>
        <w:spacing w:line="500" w:lineRule="exact"/>
        <w:ind w:firstLine="565" w:firstLineChars="257"/>
        <w:jc w:val="left"/>
        <w:rPr>
          <w:rFonts w:hint="eastAsia" w:ascii="宋体" w:hAnsi="宋体" w:cs="TimesNewRomanPSMT"/>
          <w:kern w:val="0"/>
          <w:szCs w:val="21"/>
          <w:highlight w:val="none"/>
        </w:rPr>
      </w:pPr>
      <w:r>
        <w:rPr>
          <w:rFonts w:hint="eastAsia" w:ascii="宋体" w:hAnsi="宋体" w:cs="TimesNewRomanPSMT"/>
          <w:kern w:val="0"/>
          <w:szCs w:val="21"/>
          <w:highlight w:val="none"/>
        </w:rPr>
        <w:t>（3）我方承诺按照招标文件规定向你方递交履约担保。</w:t>
      </w:r>
    </w:p>
    <w:p>
      <w:pPr>
        <w:autoSpaceDE w:val="0"/>
        <w:autoSpaceDN w:val="0"/>
        <w:adjustRightInd w:val="0"/>
        <w:spacing w:line="500" w:lineRule="exact"/>
        <w:ind w:firstLine="565" w:firstLineChars="257"/>
        <w:jc w:val="left"/>
        <w:rPr>
          <w:rFonts w:hint="eastAsia" w:ascii="宋体" w:hAnsi="宋体" w:cs="TimesNewRomanPSMT"/>
          <w:kern w:val="0"/>
          <w:szCs w:val="21"/>
          <w:highlight w:val="none"/>
        </w:rPr>
      </w:pPr>
      <w:r>
        <w:rPr>
          <w:rFonts w:hint="eastAsia" w:ascii="宋体" w:hAnsi="宋体" w:cs="TimesNewRomanPSMT"/>
          <w:kern w:val="0"/>
          <w:szCs w:val="21"/>
          <w:highlight w:val="none"/>
        </w:rPr>
        <w:t>（4）我方承诺严格按照你方规定的合同付款条款履行合同，在合同约定的期限内完成并移交全部合同</w:t>
      </w:r>
      <w:r>
        <w:rPr>
          <w:rFonts w:hint="eastAsia" w:ascii="宋体" w:hAnsi="宋体" w:eastAsia="宋体" w:cs="TimesNewRomanPSMT"/>
          <w:kern w:val="0"/>
          <w:szCs w:val="21"/>
          <w:highlight w:val="none"/>
          <w:lang w:eastAsia="zh-CN"/>
        </w:rPr>
        <w:t>项目</w:t>
      </w:r>
      <w:r>
        <w:rPr>
          <w:rFonts w:hint="eastAsia" w:ascii="宋体" w:hAnsi="宋体" w:cs="TimesNewRomanPSMT"/>
          <w:kern w:val="0"/>
          <w:szCs w:val="21"/>
          <w:highlight w:val="none"/>
        </w:rPr>
        <w:t>。</w:t>
      </w:r>
    </w:p>
    <w:p>
      <w:pPr>
        <w:keepNext w:val="0"/>
        <w:keepLines w:val="0"/>
        <w:pageBreakBefore w:val="0"/>
        <w:widowControl w:val="0"/>
        <w:kinsoku/>
        <w:wordWrap/>
        <w:overflowPunct/>
        <w:topLinePunct w:val="0"/>
        <w:autoSpaceDE w:val="0"/>
        <w:autoSpaceDN w:val="0"/>
        <w:bidi w:val="0"/>
        <w:adjustRightInd w:val="0"/>
        <w:spacing w:line="360" w:lineRule="auto"/>
        <w:ind w:firstLine="565" w:firstLineChars="257"/>
        <w:jc w:val="left"/>
        <w:textAlignment w:val="auto"/>
        <w:rPr>
          <w:rFonts w:hint="eastAsia" w:ascii="宋体" w:hAnsi="宋体" w:cs="仿宋_GB2312"/>
          <w:kern w:val="0"/>
          <w:szCs w:val="21"/>
          <w:highlight w:val="none"/>
        </w:rPr>
      </w:pPr>
      <w:r>
        <w:rPr>
          <w:rFonts w:hint="eastAsia" w:ascii="宋体" w:hAnsi="宋体" w:eastAsia="宋体" w:cs="TimesNewRomanPSMT"/>
          <w:kern w:val="0"/>
          <w:szCs w:val="21"/>
          <w:highlight w:val="none"/>
          <w:lang w:val="en-US" w:eastAsia="zh-CN"/>
        </w:rPr>
        <w:t>4</w:t>
      </w:r>
      <w:r>
        <w:rPr>
          <w:rFonts w:hint="eastAsia" w:ascii="宋体" w:hAnsi="宋体" w:cs="仿宋_GB2312"/>
          <w:kern w:val="0"/>
          <w:szCs w:val="21"/>
          <w:highlight w:val="none"/>
        </w:rPr>
        <w:t>．我方在此声明，所递交的投标文件及有关资料内容完整、真实和准确，且不存在第二章“</w:t>
      </w:r>
      <w:r>
        <w:rPr>
          <w:rFonts w:hint="eastAsia" w:ascii="宋体" w:hAnsi="宋体" w:cs="仿宋_GB2312"/>
          <w:kern w:val="0"/>
          <w:szCs w:val="21"/>
          <w:highlight w:val="none"/>
          <w:lang w:eastAsia="zh-CN"/>
        </w:rPr>
        <w:t>供应商</w:t>
      </w:r>
      <w:r>
        <w:rPr>
          <w:rFonts w:hint="eastAsia" w:ascii="宋体" w:hAnsi="宋体" w:cs="仿宋_GB2312"/>
          <w:kern w:val="0"/>
          <w:szCs w:val="21"/>
          <w:highlight w:val="none"/>
        </w:rPr>
        <w:t>须知”第</w:t>
      </w:r>
      <w:r>
        <w:rPr>
          <w:rFonts w:hint="eastAsia" w:ascii="宋体" w:hAnsi="宋体" w:cs="TimesNewRomanPSMT"/>
          <w:kern w:val="0"/>
          <w:szCs w:val="21"/>
          <w:highlight w:val="none"/>
        </w:rPr>
        <w:t>1.4.3</w:t>
      </w:r>
      <w:r>
        <w:rPr>
          <w:rFonts w:hint="eastAsia" w:ascii="宋体" w:hAnsi="宋体" w:cs="仿宋_GB2312"/>
          <w:kern w:val="0"/>
          <w:szCs w:val="21"/>
          <w:highlight w:val="none"/>
        </w:rPr>
        <w:t>项规定的任何一种情形。</w:t>
      </w:r>
    </w:p>
    <w:p>
      <w:pPr>
        <w:keepNext w:val="0"/>
        <w:keepLines w:val="0"/>
        <w:pageBreakBefore w:val="0"/>
        <w:widowControl w:val="0"/>
        <w:kinsoku/>
        <w:wordWrap/>
        <w:overflowPunct/>
        <w:topLinePunct w:val="0"/>
        <w:bidi w:val="0"/>
        <w:adjustRightInd w:val="0"/>
        <w:snapToGrid w:val="0"/>
        <w:spacing w:line="360" w:lineRule="auto"/>
        <w:ind w:left="420"/>
        <w:textAlignment w:val="auto"/>
        <w:rPr>
          <w:rFonts w:hint="eastAsia" w:ascii="宋体" w:hAnsi="宋体" w:cs="宋体"/>
          <w:szCs w:val="21"/>
          <w:highlight w:val="none"/>
        </w:rPr>
      </w:pPr>
      <w:r>
        <w:rPr>
          <w:rFonts w:hint="eastAsia" w:ascii="宋体" w:hAnsi="宋体" w:eastAsia="宋体" w:cs="宋体"/>
          <w:szCs w:val="21"/>
          <w:highlight w:val="none"/>
          <w:lang w:val="en-US" w:eastAsia="zh-CN"/>
        </w:rPr>
        <w:t>5</w:t>
      </w:r>
      <w:r>
        <w:rPr>
          <w:rFonts w:hint="eastAsia" w:ascii="宋体" w:hAnsi="宋体" w:cs="宋体"/>
          <w:szCs w:val="21"/>
          <w:highlight w:val="none"/>
        </w:rPr>
        <w:t>、我们已经详细审核了全部</w:t>
      </w:r>
      <w:r>
        <w:rPr>
          <w:rFonts w:hint="eastAsia" w:ascii="宋体" w:hAnsi="宋体" w:cs="宋体"/>
          <w:szCs w:val="21"/>
          <w:highlight w:val="none"/>
          <w:lang w:eastAsia="zh-CN"/>
        </w:rPr>
        <w:t>招标文件</w:t>
      </w:r>
      <w:r>
        <w:rPr>
          <w:rFonts w:hint="eastAsia" w:ascii="宋体" w:hAnsi="宋体" w:cs="宋体"/>
          <w:szCs w:val="21"/>
          <w:highlight w:val="none"/>
        </w:rPr>
        <w:t>，包括修改、补充的文件（如果有）及有关附件，我们完全理解并同意放弃对这方面有不明及误解的权利。</w:t>
      </w:r>
    </w:p>
    <w:p>
      <w:pPr>
        <w:keepNext w:val="0"/>
        <w:keepLines w:val="0"/>
        <w:pageBreakBefore w:val="0"/>
        <w:widowControl w:val="0"/>
        <w:kinsoku/>
        <w:wordWrap/>
        <w:overflowPunct/>
        <w:topLinePunct w:val="0"/>
        <w:bidi w:val="0"/>
        <w:adjustRightInd w:val="0"/>
        <w:snapToGrid w:val="0"/>
        <w:spacing w:line="360" w:lineRule="auto"/>
        <w:ind w:left="420"/>
        <w:textAlignment w:val="auto"/>
        <w:rPr>
          <w:rFonts w:ascii="宋体" w:hAnsi="宋体" w:cs="宋体"/>
          <w:szCs w:val="21"/>
          <w:highlight w:val="none"/>
        </w:rPr>
      </w:pPr>
      <w:r>
        <w:rPr>
          <w:rFonts w:hint="eastAsia" w:ascii="宋体" w:hAnsi="宋体" w:eastAsia="宋体" w:cs="宋体"/>
          <w:szCs w:val="21"/>
          <w:highlight w:val="none"/>
          <w:lang w:val="en-US" w:eastAsia="zh-CN"/>
        </w:rPr>
        <w:t>6</w:t>
      </w:r>
      <w:r>
        <w:rPr>
          <w:rFonts w:hint="eastAsia" w:ascii="宋体" w:hAnsi="宋体" w:cs="宋体"/>
          <w:szCs w:val="21"/>
          <w:highlight w:val="none"/>
        </w:rPr>
        <w:t>、如我方中标，我方愿意按发改价格【2011】534号文和国家发改办价格【2003】857 号文件的规定</w:t>
      </w:r>
      <w:r>
        <w:rPr>
          <w:rFonts w:hint="eastAsia" w:ascii="宋体" w:hAnsi="宋体" w:cs="宋体"/>
          <w:kern w:val="0"/>
          <w:szCs w:val="21"/>
          <w:highlight w:val="none"/>
        </w:rPr>
        <w:t>，在领取</w:t>
      </w:r>
      <w:r>
        <w:rPr>
          <w:rFonts w:hint="eastAsia" w:ascii="宋体" w:hAnsi="宋体" w:cs="宋体"/>
          <w:kern w:val="0"/>
          <w:szCs w:val="21"/>
          <w:highlight w:val="none"/>
          <w:lang w:eastAsia="zh-CN"/>
        </w:rPr>
        <w:t>中标通知书</w:t>
      </w:r>
      <w:r>
        <w:rPr>
          <w:rFonts w:hint="eastAsia" w:ascii="宋体" w:hAnsi="宋体" w:cs="宋体"/>
          <w:kern w:val="0"/>
          <w:szCs w:val="21"/>
          <w:highlight w:val="none"/>
        </w:rPr>
        <w:t>时，以转账的形式</w:t>
      </w:r>
      <w:r>
        <w:rPr>
          <w:rFonts w:hint="eastAsia" w:ascii="宋体" w:hAnsi="宋体" w:cs="宋体"/>
          <w:szCs w:val="21"/>
          <w:highlight w:val="none"/>
        </w:rPr>
        <w:t>向招标代理机构支付本次招标代理服务费。</w:t>
      </w:r>
    </w:p>
    <w:p>
      <w:pPr>
        <w:tabs>
          <w:tab w:val="left" w:pos="1155"/>
        </w:tabs>
        <w:adjustRightInd w:val="0"/>
        <w:snapToGrid w:val="0"/>
        <w:spacing w:line="360" w:lineRule="auto"/>
        <w:rPr>
          <w:rFonts w:hint="eastAsia"/>
          <w:szCs w:val="21"/>
          <w:highlight w:val="none"/>
        </w:rPr>
      </w:pPr>
      <w:r>
        <w:rPr>
          <w:rFonts w:hint="eastAsia" w:ascii="宋体" w:hAnsi="宋体" w:cs="宋体"/>
          <w:szCs w:val="21"/>
          <w:highlight w:val="none"/>
        </w:rPr>
        <w:t xml:space="preserve">    </w:t>
      </w:r>
      <w:r>
        <w:rPr>
          <w:rFonts w:hint="eastAsia" w:ascii="宋体" w:hAnsi="宋体" w:eastAsia="宋体" w:cs="宋体"/>
          <w:szCs w:val="21"/>
          <w:highlight w:val="none"/>
          <w:lang w:val="en-US" w:eastAsia="zh-CN"/>
        </w:rPr>
        <w:t>7</w:t>
      </w:r>
      <w:r>
        <w:rPr>
          <w:rFonts w:hint="eastAsia" w:ascii="宋体" w:hAnsi="宋体" w:cs="宋体"/>
          <w:szCs w:val="21"/>
          <w:highlight w:val="none"/>
        </w:rPr>
        <w:t>、其它说明：</w:t>
      </w:r>
    </w:p>
    <w:p>
      <w:pPr>
        <w:rPr>
          <w:highlight w:val="none"/>
        </w:rPr>
      </w:pPr>
    </w:p>
    <w:p>
      <w:pPr>
        <w:adjustRightInd w:val="0"/>
        <w:snapToGrid w:val="0"/>
        <w:spacing w:line="360" w:lineRule="auto"/>
        <w:ind w:firstLine="880" w:firstLineChars="400"/>
        <w:rPr>
          <w:szCs w:val="21"/>
          <w:highlight w:val="none"/>
        </w:rPr>
      </w:pPr>
      <w:r>
        <w:rPr>
          <w:rFonts w:hint="eastAsia"/>
          <w:szCs w:val="21"/>
          <w:highlight w:val="none"/>
          <w:lang w:eastAsia="zh-CN"/>
        </w:rPr>
        <w:t>供应商</w:t>
      </w:r>
      <w:r>
        <w:rPr>
          <w:szCs w:val="21"/>
          <w:highlight w:val="none"/>
        </w:rPr>
        <w:t>：（盖单位</w:t>
      </w:r>
      <w:r>
        <w:rPr>
          <w:rFonts w:hint="eastAsia"/>
          <w:szCs w:val="21"/>
          <w:highlight w:val="none"/>
        </w:rPr>
        <w:t>公</w:t>
      </w:r>
      <w:r>
        <w:rPr>
          <w:szCs w:val="21"/>
          <w:highlight w:val="none"/>
        </w:rPr>
        <w:t>章）</w:t>
      </w:r>
    </w:p>
    <w:p>
      <w:pPr>
        <w:adjustRightInd w:val="0"/>
        <w:snapToGrid w:val="0"/>
        <w:spacing w:line="360" w:lineRule="auto"/>
        <w:ind w:firstLine="880" w:firstLineChars="400"/>
        <w:rPr>
          <w:szCs w:val="21"/>
          <w:highlight w:val="none"/>
        </w:rPr>
      </w:pPr>
      <w:r>
        <w:rPr>
          <w:szCs w:val="21"/>
          <w:highlight w:val="none"/>
        </w:rPr>
        <w:t>法定代表人或其委托代理人：（签字</w:t>
      </w:r>
      <w:r>
        <w:rPr>
          <w:rFonts w:hint="eastAsia"/>
          <w:szCs w:val="21"/>
          <w:highlight w:val="none"/>
        </w:rPr>
        <w:t>或盖章</w:t>
      </w:r>
      <w:r>
        <w:rPr>
          <w:szCs w:val="21"/>
          <w:highlight w:val="none"/>
        </w:rPr>
        <w:t>）</w:t>
      </w:r>
    </w:p>
    <w:p>
      <w:pPr>
        <w:adjustRightInd w:val="0"/>
        <w:snapToGrid w:val="0"/>
        <w:spacing w:line="360" w:lineRule="auto"/>
        <w:ind w:firstLine="880" w:firstLineChars="400"/>
        <w:rPr>
          <w:rFonts w:hint="eastAsia"/>
          <w:szCs w:val="21"/>
          <w:highlight w:val="none"/>
        </w:rPr>
      </w:pPr>
      <w:r>
        <w:rPr>
          <w:szCs w:val="21"/>
          <w:highlight w:val="none"/>
        </w:rPr>
        <w:t>地址：</w:t>
      </w:r>
    </w:p>
    <w:p>
      <w:pPr>
        <w:adjustRightInd w:val="0"/>
        <w:snapToGrid w:val="0"/>
        <w:spacing w:line="360" w:lineRule="auto"/>
        <w:ind w:firstLine="880" w:firstLineChars="400"/>
        <w:rPr>
          <w:rFonts w:hint="eastAsia"/>
          <w:highlight w:val="none"/>
        </w:rPr>
      </w:pPr>
      <w:r>
        <w:rPr>
          <w:szCs w:val="21"/>
          <w:highlight w:val="none"/>
        </w:rPr>
        <w:t>网址：</w:t>
      </w:r>
    </w:p>
    <w:p>
      <w:pPr>
        <w:adjustRightInd w:val="0"/>
        <w:snapToGrid w:val="0"/>
        <w:spacing w:line="360" w:lineRule="auto"/>
        <w:ind w:firstLine="880" w:firstLineChars="400"/>
        <w:rPr>
          <w:rFonts w:hint="eastAsia"/>
          <w:szCs w:val="21"/>
          <w:highlight w:val="none"/>
        </w:rPr>
      </w:pPr>
      <w:r>
        <w:rPr>
          <w:szCs w:val="21"/>
          <w:highlight w:val="none"/>
        </w:rPr>
        <w:t>电话：</w:t>
      </w:r>
    </w:p>
    <w:p>
      <w:pPr>
        <w:adjustRightInd w:val="0"/>
        <w:snapToGrid w:val="0"/>
        <w:spacing w:line="360" w:lineRule="auto"/>
        <w:ind w:firstLine="880" w:firstLineChars="400"/>
        <w:rPr>
          <w:rFonts w:hint="eastAsia"/>
          <w:szCs w:val="21"/>
          <w:highlight w:val="none"/>
        </w:rPr>
      </w:pPr>
      <w:r>
        <w:rPr>
          <w:szCs w:val="21"/>
          <w:highlight w:val="none"/>
        </w:rPr>
        <w:t>传真：</w:t>
      </w:r>
    </w:p>
    <w:p>
      <w:pPr>
        <w:adjustRightInd w:val="0"/>
        <w:snapToGrid w:val="0"/>
        <w:spacing w:line="360" w:lineRule="auto"/>
        <w:ind w:firstLine="880" w:firstLineChars="400"/>
        <w:rPr>
          <w:rFonts w:hint="eastAsia"/>
          <w:szCs w:val="21"/>
          <w:highlight w:val="none"/>
        </w:rPr>
      </w:pPr>
      <w:r>
        <w:rPr>
          <w:szCs w:val="21"/>
          <w:highlight w:val="none"/>
        </w:rPr>
        <w:t>邮政编码：</w:t>
      </w:r>
    </w:p>
    <w:p>
      <w:pPr>
        <w:adjustRightInd w:val="0"/>
        <w:snapToGrid w:val="0"/>
        <w:spacing w:line="360" w:lineRule="auto"/>
        <w:ind w:firstLine="5280" w:firstLineChars="2400"/>
        <w:rPr>
          <w:rFonts w:hint="eastAsia"/>
          <w:szCs w:val="21"/>
          <w:highlight w:val="none"/>
        </w:rPr>
      </w:pPr>
      <w:r>
        <w:rPr>
          <w:szCs w:val="21"/>
          <w:highlight w:val="none"/>
        </w:rPr>
        <w:t>年</w:t>
      </w:r>
      <w:r>
        <w:rPr>
          <w:rFonts w:hint="eastAsia"/>
          <w:szCs w:val="21"/>
          <w:highlight w:val="none"/>
        </w:rPr>
        <w:t xml:space="preserve">    </w:t>
      </w:r>
      <w:r>
        <w:rPr>
          <w:szCs w:val="21"/>
          <w:highlight w:val="none"/>
        </w:rPr>
        <w:t>月</w:t>
      </w:r>
      <w:r>
        <w:rPr>
          <w:rFonts w:hint="eastAsia"/>
          <w:szCs w:val="21"/>
          <w:highlight w:val="none"/>
        </w:rPr>
        <w:t xml:space="preserve">    日</w:t>
      </w:r>
    </w:p>
    <w:p>
      <w:pPr>
        <w:pStyle w:val="4"/>
        <w:bidi w:val="0"/>
        <w:jc w:val="center"/>
        <w:rPr>
          <w:rFonts w:hint="eastAsia" w:ascii="宋体" w:hAnsi="宋体" w:cs="宋体"/>
          <w:b/>
          <w:bCs/>
          <w:sz w:val="24"/>
          <w:szCs w:val="24"/>
          <w:highlight w:val="none"/>
        </w:rPr>
      </w:pPr>
      <w:bookmarkStart w:id="165" w:name="_Toc3090"/>
      <w:r>
        <w:rPr>
          <w:rFonts w:hint="eastAsia" w:ascii="Times New Roman" w:hAnsi="Times New Roman" w:eastAsia="宋体" w:cs="Times New Roman"/>
          <w:b w:val="0"/>
          <w:bCs w:val="0"/>
          <w:kern w:val="2"/>
          <w:sz w:val="30"/>
          <w:szCs w:val="30"/>
          <w:highlight w:val="none"/>
          <w:lang w:val="en-US" w:eastAsia="zh-CN" w:bidi="ar-SA"/>
        </w:rPr>
        <w:t xml:space="preserve">（二） </w:t>
      </w:r>
      <w:bookmarkEnd w:id="165"/>
      <w:r>
        <w:rPr>
          <w:rFonts w:hint="eastAsia" w:ascii="Times New Roman" w:hAnsi="Times New Roman" w:eastAsia="宋体" w:cs="Times New Roman"/>
          <w:b w:val="0"/>
          <w:bCs w:val="0"/>
          <w:kern w:val="2"/>
          <w:sz w:val="30"/>
          <w:szCs w:val="30"/>
          <w:highlight w:val="none"/>
          <w:lang w:val="en-US" w:eastAsia="zh-CN" w:bidi="ar-SA"/>
        </w:rPr>
        <w:t>投标函附录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1"/>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eastAsia" w:ascii="宋体" w:hAnsi="宋体" w:cs="宋体"/>
                <w:szCs w:val="21"/>
                <w:highlight w:val="none"/>
              </w:rPr>
            </w:pPr>
            <w:r>
              <w:rPr>
                <w:rFonts w:hint="eastAsia" w:ascii="宋体" w:hAnsi="宋体" w:cs="宋体"/>
                <w:bCs/>
                <w:szCs w:val="21"/>
                <w:highlight w:val="none"/>
                <w:lang w:eastAsia="zh-CN"/>
              </w:rPr>
              <w:t>供应商</w:t>
            </w:r>
            <w:r>
              <w:rPr>
                <w:rFonts w:hint="eastAsia" w:ascii="宋体" w:hAnsi="宋体" w:cs="宋体"/>
                <w:bCs/>
                <w:szCs w:val="21"/>
                <w:highlight w:val="none"/>
              </w:rPr>
              <w:t>名称</w:t>
            </w:r>
          </w:p>
        </w:tc>
        <w:tc>
          <w:tcPr>
            <w:tcW w:w="6653" w:type="dxa"/>
            <w:noWrap w:val="0"/>
            <w:vAlign w:val="center"/>
          </w:tcPr>
          <w:p>
            <w:pPr>
              <w:wordWrap w:val="0"/>
              <w:spacing w:line="440" w:lineRule="exac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eastAsia" w:ascii="宋体" w:hAnsi="宋体" w:cs="宋体"/>
                <w:szCs w:val="21"/>
                <w:highlight w:val="none"/>
              </w:rPr>
            </w:pPr>
            <w:r>
              <w:rPr>
                <w:rFonts w:hint="eastAsia" w:ascii="宋体" w:hAnsi="宋体" w:cs="宋体"/>
                <w:szCs w:val="21"/>
                <w:highlight w:val="none"/>
              </w:rPr>
              <w:t>项目名称</w:t>
            </w:r>
          </w:p>
        </w:tc>
        <w:tc>
          <w:tcPr>
            <w:tcW w:w="6653" w:type="dxa"/>
            <w:noWrap w:val="0"/>
            <w:vAlign w:val="center"/>
          </w:tcPr>
          <w:p>
            <w:pPr>
              <w:wordWrap w:val="0"/>
              <w:spacing w:line="440" w:lineRule="exac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eastAsia" w:ascii="宋体" w:hAnsi="宋体" w:eastAsia="宋体" w:cs="宋体"/>
                <w:szCs w:val="21"/>
                <w:highlight w:val="none"/>
                <w:lang w:eastAsia="zh-CN"/>
              </w:rPr>
            </w:pPr>
            <w:r>
              <w:rPr>
                <w:rFonts w:hint="eastAsia" w:eastAsia="宋体"/>
                <w:szCs w:val="21"/>
                <w:highlight w:val="none"/>
                <w:lang w:eastAsia="zh-CN"/>
              </w:rPr>
              <w:t>包号</w:t>
            </w:r>
          </w:p>
        </w:tc>
        <w:tc>
          <w:tcPr>
            <w:tcW w:w="6653" w:type="dxa"/>
            <w:noWrap w:val="0"/>
            <w:vAlign w:val="center"/>
          </w:tcPr>
          <w:p>
            <w:pPr>
              <w:wordWrap w:val="0"/>
              <w:spacing w:line="440" w:lineRule="exac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eastAsia" w:ascii="宋体" w:hAnsi="宋体" w:cs="宋体"/>
                <w:szCs w:val="21"/>
                <w:highlight w:val="none"/>
              </w:rPr>
            </w:pPr>
            <w:r>
              <w:rPr>
                <w:rFonts w:hint="eastAsia" w:ascii="宋体" w:hAnsi="宋体" w:cs="宋体"/>
                <w:szCs w:val="21"/>
                <w:highlight w:val="none"/>
              </w:rPr>
              <w:t>投标内容</w:t>
            </w:r>
          </w:p>
        </w:tc>
        <w:tc>
          <w:tcPr>
            <w:tcW w:w="6653" w:type="dxa"/>
            <w:noWrap w:val="0"/>
            <w:vAlign w:val="center"/>
          </w:tcPr>
          <w:p>
            <w:pPr>
              <w:wordWrap w:val="0"/>
              <w:spacing w:line="440" w:lineRule="exac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eastAsia" w:ascii="宋体" w:hAnsi="宋体" w:cs="宋体"/>
                <w:szCs w:val="21"/>
                <w:highlight w:val="none"/>
              </w:rPr>
            </w:pPr>
            <w:r>
              <w:rPr>
                <w:rFonts w:hint="eastAsia" w:ascii="宋体" w:hAnsi="宋体" w:cs="宋体"/>
                <w:szCs w:val="21"/>
                <w:highlight w:val="none"/>
              </w:rPr>
              <w:t>投标总报价（元）</w:t>
            </w:r>
          </w:p>
        </w:tc>
        <w:tc>
          <w:tcPr>
            <w:tcW w:w="6653" w:type="dxa"/>
            <w:noWrap w:val="0"/>
            <w:vAlign w:val="center"/>
          </w:tcPr>
          <w:p>
            <w:pPr>
              <w:spacing w:line="440" w:lineRule="exact"/>
              <w:jc w:val="left"/>
              <w:rPr>
                <w:rFonts w:hint="eastAsia" w:ascii="宋体" w:hAnsi="宋体" w:cs="宋体"/>
                <w:szCs w:val="21"/>
                <w:highlight w:val="none"/>
              </w:rPr>
            </w:pPr>
            <w:r>
              <w:rPr>
                <w:rFonts w:hint="eastAsia" w:ascii="宋体" w:hAnsi="宋体" w:cs="宋体"/>
                <w:szCs w:val="21"/>
                <w:highlight w:val="none"/>
              </w:rPr>
              <w:t>小写：</w:t>
            </w:r>
          </w:p>
          <w:p>
            <w:pPr>
              <w:spacing w:line="440" w:lineRule="exact"/>
              <w:jc w:val="left"/>
              <w:rPr>
                <w:rFonts w:hint="eastAsia" w:ascii="宋体" w:hAnsi="宋体" w:cs="宋体"/>
                <w:szCs w:val="21"/>
                <w:highlight w:val="none"/>
              </w:rPr>
            </w:pPr>
            <w:r>
              <w:rPr>
                <w:rFonts w:hint="eastAsia" w:ascii="宋体" w:hAnsi="宋体" w:cs="宋体"/>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交货及安装期</w:t>
            </w:r>
          </w:p>
        </w:tc>
        <w:tc>
          <w:tcPr>
            <w:tcW w:w="6653" w:type="dxa"/>
            <w:noWrap w:val="0"/>
            <w:vAlign w:val="center"/>
          </w:tcPr>
          <w:p>
            <w:pPr>
              <w:wordWrap w:val="0"/>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331" w:type="dxa"/>
            <w:noWrap w:val="0"/>
            <w:vAlign w:val="center"/>
          </w:tcPr>
          <w:p>
            <w:pPr>
              <w:wordWrap w:val="0"/>
              <w:spacing w:line="440" w:lineRule="exact"/>
              <w:jc w:val="center"/>
              <w:rPr>
                <w:rFonts w:hint="eastAsia" w:ascii="宋体" w:hAnsi="宋体" w:cs="宋体"/>
                <w:kern w:val="0"/>
                <w:szCs w:val="21"/>
                <w:highlight w:val="none"/>
              </w:rPr>
            </w:pPr>
            <w:r>
              <w:rPr>
                <w:rFonts w:hint="eastAsia" w:ascii="宋体" w:hAnsi="宋体" w:cs="宋体"/>
                <w:kern w:val="0"/>
                <w:szCs w:val="21"/>
                <w:highlight w:val="none"/>
              </w:rPr>
              <w:t>质量</w:t>
            </w:r>
          </w:p>
        </w:tc>
        <w:tc>
          <w:tcPr>
            <w:tcW w:w="6653" w:type="dxa"/>
            <w:noWrap w:val="0"/>
            <w:vAlign w:val="center"/>
          </w:tcPr>
          <w:p>
            <w:pPr>
              <w:wordWrap w:val="0"/>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331" w:type="dxa"/>
            <w:noWrap w:val="0"/>
            <w:vAlign w:val="center"/>
          </w:tcPr>
          <w:p>
            <w:pPr>
              <w:wordWrap w:val="0"/>
              <w:spacing w:line="440" w:lineRule="exact"/>
              <w:jc w:val="center"/>
              <w:rPr>
                <w:rFonts w:hint="eastAsia" w:ascii="宋体" w:hAnsi="宋体" w:cs="宋体"/>
                <w:szCs w:val="21"/>
                <w:highlight w:val="none"/>
              </w:rPr>
            </w:pPr>
            <w:r>
              <w:rPr>
                <w:rFonts w:hint="eastAsia" w:ascii="宋体" w:hAnsi="宋体" w:cs="宋体"/>
                <w:szCs w:val="21"/>
                <w:highlight w:val="none"/>
              </w:rPr>
              <w:t>投标有效期</w:t>
            </w:r>
          </w:p>
        </w:tc>
        <w:tc>
          <w:tcPr>
            <w:tcW w:w="6653" w:type="dxa"/>
            <w:noWrap w:val="0"/>
            <w:vAlign w:val="center"/>
          </w:tcPr>
          <w:p>
            <w:pPr>
              <w:wordWrap w:val="0"/>
              <w:spacing w:line="440" w:lineRule="exact"/>
              <w:ind w:firstLine="480" w:firstLineChars="200"/>
              <w:rPr>
                <w:rFonts w:hint="eastAsia" w:ascii="宋体" w:hAnsi="宋体" w:cs="宋体"/>
                <w:szCs w:val="21"/>
                <w:highlight w:val="none"/>
              </w:rPr>
            </w:pPr>
            <w:r>
              <w:rPr>
                <w:rFonts w:hint="eastAsia" w:ascii="宋体" w:hAnsi="宋体" w:eastAsia="宋体" w:cs="宋体"/>
                <w:sz w:val="24"/>
                <w:szCs w:val="24"/>
                <w:highlight w:val="none"/>
                <w:lang w:val="en-US" w:eastAsia="en-US" w:bidi="ar-SA"/>
              </w:rPr>
              <w:t>60日历天</w:t>
            </w:r>
            <w:r>
              <w:rPr>
                <w:rFonts w:ascii="宋体" w:hAnsi="宋体" w:eastAsia="宋体" w:cs="宋体"/>
                <w:sz w:val="24"/>
                <w:szCs w:val="24"/>
                <w:highlight w:val="none"/>
                <w:lang w:val="en-US" w:eastAsia="en-US" w:bidi="ar-SA"/>
              </w:rPr>
              <w:t>（自投标截止时间之日起）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2331" w:type="dxa"/>
            <w:noWrap w:val="0"/>
            <w:vAlign w:val="center"/>
          </w:tcPr>
          <w:p>
            <w:pPr>
              <w:wordWrap w:val="0"/>
              <w:spacing w:line="440" w:lineRule="exact"/>
              <w:jc w:val="center"/>
              <w:rPr>
                <w:rFonts w:hint="eastAsia" w:ascii="宋体" w:hAnsi="宋体" w:cs="宋体"/>
                <w:szCs w:val="21"/>
                <w:highlight w:val="none"/>
              </w:rPr>
            </w:pPr>
            <w:r>
              <w:rPr>
                <w:rFonts w:hint="eastAsia" w:ascii="宋体" w:hAnsi="宋体" w:cs="宋体"/>
                <w:szCs w:val="21"/>
                <w:highlight w:val="none"/>
              </w:rPr>
              <w:t>其它说明</w:t>
            </w:r>
          </w:p>
        </w:tc>
        <w:tc>
          <w:tcPr>
            <w:tcW w:w="6653" w:type="dxa"/>
            <w:noWrap w:val="0"/>
            <w:vAlign w:val="center"/>
          </w:tcPr>
          <w:p>
            <w:pPr>
              <w:wordWrap w:val="0"/>
              <w:spacing w:line="440" w:lineRule="exact"/>
              <w:ind w:firstLine="440" w:firstLineChars="200"/>
              <w:rPr>
                <w:rFonts w:hint="eastAsia" w:ascii="宋体" w:hAnsi="宋体" w:cs="宋体"/>
                <w:szCs w:val="21"/>
                <w:highlight w:val="none"/>
              </w:rPr>
            </w:pPr>
          </w:p>
        </w:tc>
      </w:tr>
    </w:tbl>
    <w:p>
      <w:pPr>
        <w:wordWrap w:val="0"/>
        <w:spacing w:line="440" w:lineRule="exact"/>
        <w:ind w:left="5390" w:leftChars="2450"/>
        <w:rPr>
          <w:rFonts w:hint="eastAsia" w:ascii="宋体" w:hAnsi="宋体" w:cs="宋体"/>
          <w:sz w:val="24"/>
          <w:highlight w:val="none"/>
        </w:rPr>
      </w:pPr>
    </w:p>
    <w:p>
      <w:pPr>
        <w:wordWrap w:val="0"/>
        <w:spacing w:line="440" w:lineRule="exact"/>
        <w:rPr>
          <w:rFonts w:hint="eastAsia" w:ascii="宋体" w:hAnsi="宋体" w:cs="宋体"/>
          <w:sz w:val="24"/>
          <w:highlight w:val="none"/>
        </w:rPr>
      </w:pPr>
    </w:p>
    <w:p>
      <w:pPr>
        <w:pStyle w:val="2"/>
        <w:rPr>
          <w:rFonts w:hint="eastAsia" w:ascii="宋体" w:hAnsi="宋体" w:cs="宋体"/>
          <w:sz w:val="24"/>
          <w:highlight w:val="none"/>
        </w:rPr>
      </w:pPr>
    </w:p>
    <w:p>
      <w:pPr>
        <w:rPr>
          <w:rFonts w:hint="eastAsia"/>
          <w:highlight w:val="none"/>
        </w:rPr>
      </w:pPr>
    </w:p>
    <w:p>
      <w:pPr>
        <w:wordWrap w:val="0"/>
        <w:spacing w:line="440" w:lineRule="exact"/>
        <w:ind w:firstLine="3300" w:firstLineChars="1500"/>
        <w:rPr>
          <w:rFonts w:hint="eastAsia" w:ascii="宋体" w:hAnsi="宋体" w:cs="宋体"/>
          <w:szCs w:val="21"/>
          <w:highlight w:val="none"/>
        </w:rPr>
      </w:pPr>
      <w:r>
        <w:rPr>
          <w:rFonts w:hint="eastAsia" w:ascii="宋体" w:hAnsi="宋体" w:cs="宋体"/>
          <w:bCs/>
          <w:szCs w:val="21"/>
          <w:highlight w:val="none"/>
          <w:lang w:eastAsia="zh-CN"/>
        </w:rPr>
        <w:t>供应商</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wordWrap w:val="0"/>
        <w:spacing w:line="440" w:lineRule="exact"/>
        <w:ind w:firstLine="3300" w:firstLineChars="1500"/>
        <w:rPr>
          <w:rFonts w:hint="eastAsia" w:ascii="宋体" w:hAnsi="宋体" w:cs="宋体"/>
          <w:szCs w:val="21"/>
          <w:highlight w:val="none"/>
          <w:u w:val="singl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（签字或盖章）  </w:t>
      </w:r>
    </w:p>
    <w:p>
      <w:pPr>
        <w:wordWrap w:val="0"/>
        <w:spacing w:line="440" w:lineRule="exact"/>
        <w:ind w:firstLine="3300" w:firstLineChars="1500"/>
        <w:rPr>
          <w:rFonts w:hint="eastAsia" w:ascii="宋体" w:hAnsi="宋体" w:cs="宋体"/>
          <w:szCs w:val="21"/>
          <w:highlight w:val="none"/>
        </w:rPr>
      </w:pPr>
      <w:r>
        <w:rPr>
          <w:rFonts w:hint="eastAsia" w:ascii="宋体" w:hAnsi="宋体" w:cs="宋体"/>
          <w:szCs w:val="21"/>
          <w:highlight w:val="none"/>
        </w:rPr>
        <w:t>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auto"/>
        <w:jc w:val="left"/>
        <w:rPr>
          <w:rFonts w:hint="eastAsia" w:ascii="宋体" w:hAnsi="宋体"/>
          <w:sz w:val="24"/>
          <w:highlight w:val="none"/>
        </w:rPr>
      </w:pPr>
    </w:p>
    <w:p>
      <w:pPr>
        <w:bidi w:val="0"/>
        <w:rPr>
          <w:rFonts w:hint="eastAsia"/>
          <w:highlight w:val="none"/>
        </w:rPr>
      </w:pPr>
      <w:bookmarkStart w:id="166" w:name="_Toc18689"/>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pStyle w:val="2"/>
        <w:numPr>
          <w:ilvl w:val="0"/>
          <w:numId w:val="0"/>
        </w:numPr>
        <w:bidi w:val="0"/>
        <w:ind w:leftChars="0"/>
        <w:jc w:val="center"/>
        <w:rPr>
          <w:rFonts w:hint="eastAsia" w:ascii="宋体" w:hAnsi="宋体" w:eastAsia="宋体" w:cs="宋体"/>
          <w:b/>
          <w:bCs/>
          <w:highlight w:val="none"/>
        </w:rPr>
      </w:pPr>
      <w:r>
        <w:rPr>
          <w:rFonts w:hint="eastAsia" w:ascii="宋体" w:hAnsi="宋体" w:eastAsia="宋体" w:cs="宋体"/>
          <w:b/>
          <w:bCs/>
          <w:highlight w:val="none"/>
        </w:rPr>
        <w:t>二、法定代表人身份证明</w:t>
      </w:r>
      <w:bookmarkEnd w:id="166"/>
    </w:p>
    <w:p>
      <w:pPr>
        <w:wordWrap w:val="0"/>
        <w:spacing w:line="440" w:lineRule="exact"/>
        <w:jc w:val="center"/>
        <w:rPr>
          <w:rFonts w:hint="eastAsia" w:ascii="宋体" w:hAnsi="宋体" w:cs="宋体"/>
          <w:sz w:val="24"/>
          <w:highlight w:val="none"/>
        </w:rPr>
      </w:pPr>
    </w:p>
    <w:p>
      <w:pPr>
        <w:wordWrap w:val="0"/>
        <w:spacing w:line="440" w:lineRule="exact"/>
        <w:ind w:firstLine="440" w:firstLineChars="200"/>
        <w:rPr>
          <w:rFonts w:hint="eastAsia" w:ascii="宋体" w:hAnsi="宋体" w:cs="宋体"/>
          <w:szCs w:val="21"/>
          <w:highlight w:val="none"/>
          <w:u w:val="single"/>
        </w:rPr>
      </w:pPr>
      <w:r>
        <w:rPr>
          <w:rFonts w:hint="eastAsia" w:ascii="宋体" w:hAnsi="宋体" w:cs="宋体"/>
          <w:szCs w:val="21"/>
          <w:highlight w:val="none"/>
          <w:lang w:eastAsia="zh-CN"/>
        </w:rPr>
        <w:t>供应商</w:t>
      </w:r>
      <w:r>
        <w:rPr>
          <w:rFonts w:hint="eastAsia" w:ascii="宋体" w:hAnsi="宋体" w:cs="宋体"/>
          <w:szCs w:val="21"/>
          <w:highlight w:val="none"/>
        </w:rPr>
        <w:t>名称：</w:t>
      </w:r>
      <w:r>
        <w:rPr>
          <w:rFonts w:hint="eastAsia" w:ascii="宋体" w:hAnsi="宋体" w:cs="宋体"/>
          <w:szCs w:val="21"/>
          <w:highlight w:val="none"/>
          <w:u w:val="single"/>
        </w:rPr>
        <w:t xml:space="preserve">                                 </w:t>
      </w:r>
    </w:p>
    <w:p>
      <w:pPr>
        <w:wordWrap w:val="0"/>
        <w:spacing w:line="440" w:lineRule="exact"/>
        <w:ind w:firstLine="440" w:firstLineChars="200"/>
        <w:rPr>
          <w:rFonts w:hint="eastAsia" w:ascii="宋体" w:hAnsi="宋体" w:cs="宋体"/>
          <w:szCs w:val="21"/>
          <w:highlight w:val="none"/>
        </w:rPr>
      </w:pPr>
      <w:r>
        <w:rPr>
          <w:rFonts w:hint="eastAsia" w:ascii="宋体" w:hAnsi="宋体" w:cs="宋体"/>
          <w:szCs w:val="21"/>
          <w:highlight w:val="none"/>
        </w:rPr>
        <w:t>单位性质：</w:t>
      </w:r>
      <w:r>
        <w:rPr>
          <w:rFonts w:hint="eastAsia" w:ascii="宋体" w:hAnsi="宋体" w:cs="宋体"/>
          <w:szCs w:val="21"/>
          <w:highlight w:val="none"/>
          <w:u w:val="single"/>
        </w:rPr>
        <w:t xml:space="preserve">                                   </w:t>
      </w:r>
    </w:p>
    <w:p>
      <w:pPr>
        <w:wordWrap w:val="0"/>
        <w:spacing w:line="440" w:lineRule="exact"/>
        <w:ind w:firstLine="440" w:firstLineChars="200"/>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w:t>
      </w:r>
    </w:p>
    <w:p>
      <w:pPr>
        <w:wordWrap w:val="0"/>
        <w:spacing w:line="440" w:lineRule="exact"/>
        <w:ind w:firstLine="440" w:firstLineChars="200"/>
        <w:rPr>
          <w:rFonts w:hint="eastAsia"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wordWrap w:val="0"/>
        <w:spacing w:line="440" w:lineRule="exact"/>
        <w:ind w:firstLine="440" w:firstLineChars="200"/>
        <w:rPr>
          <w:rFonts w:hint="eastAsia" w:ascii="宋体" w:hAnsi="宋体" w:cs="宋体"/>
          <w:szCs w:val="21"/>
          <w:highlight w:val="none"/>
        </w:rPr>
      </w:pPr>
      <w:r>
        <w:rPr>
          <w:rFonts w:hint="eastAsia" w:ascii="宋体" w:hAnsi="宋体" w:cs="宋体"/>
          <w:szCs w:val="21"/>
          <w:highlight w:val="none"/>
        </w:rPr>
        <w:t>经营期限：</w:t>
      </w:r>
      <w:r>
        <w:rPr>
          <w:rFonts w:hint="eastAsia" w:ascii="宋体" w:hAnsi="宋体" w:cs="宋体"/>
          <w:szCs w:val="21"/>
          <w:highlight w:val="none"/>
          <w:u w:val="single"/>
        </w:rPr>
        <w:t xml:space="preserve">                                 </w:t>
      </w:r>
    </w:p>
    <w:p>
      <w:pPr>
        <w:wordWrap w:val="0"/>
        <w:spacing w:line="440" w:lineRule="exact"/>
        <w:ind w:firstLine="440" w:firstLineChars="200"/>
        <w:rPr>
          <w:rFonts w:hint="eastAsia" w:ascii="宋体" w:hAnsi="宋体" w:cs="宋体"/>
          <w:szCs w:val="21"/>
          <w:highlight w:val="none"/>
          <w:u w:val="single"/>
        </w:rPr>
      </w:pPr>
      <w:r>
        <w:rPr>
          <w:rFonts w:hint="eastAsia" w:ascii="宋体" w:hAnsi="宋体" w:cs="宋体"/>
          <w:szCs w:val="21"/>
          <w:highlight w:val="none"/>
        </w:rPr>
        <w:t>姓名：</w:t>
      </w:r>
      <w:r>
        <w:rPr>
          <w:rFonts w:hint="eastAsia" w:ascii="宋体" w:hAnsi="宋体" w:cs="宋体"/>
          <w:szCs w:val="21"/>
          <w:highlight w:val="none"/>
          <w:u w:val="single"/>
        </w:rPr>
        <w:t xml:space="preserve">         </w:t>
      </w:r>
      <w:r>
        <w:rPr>
          <w:rFonts w:hint="eastAsia" w:ascii="宋体" w:hAnsi="宋体" w:cs="宋体"/>
          <w:szCs w:val="21"/>
          <w:highlight w:val="none"/>
        </w:rPr>
        <w:t>性别：</w:t>
      </w:r>
      <w:r>
        <w:rPr>
          <w:rFonts w:hint="eastAsia" w:ascii="宋体" w:hAnsi="宋体" w:cs="宋体"/>
          <w:szCs w:val="21"/>
          <w:highlight w:val="none"/>
          <w:u w:val="single"/>
        </w:rPr>
        <w:t xml:space="preserve">       </w:t>
      </w:r>
      <w:r>
        <w:rPr>
          <w:rFonts w:hint="eastAsia" w:ascii="宋体" w:hAnsi="宋体" w:cs="宋体"/>
          <w:szCs w:val="21"/>
          <w:highlight w:val="none"/>
        </w:rPr>
        <w:t>年龄：</w:t>
      </w:r>
      <w:r>
        <w:rPr>
          <w:rFonts w:hint="eastAsia" w:ascii="宋体" w:hAnsi="宋体" w:cs="宋体"/>
          <w:szCs w:val="21"/>
          <w:highlight w:val="none"/>
          <w:u w:val="single"/>
        </w:rPr>
        <w:t xml:space="preserve">     </w:t>
      </w:r>
      <w:r>
        <w:rPr>
          <w:rFonts w:hint="eastAsia" w:ascii="宋体" w:hAnsi="宋体" w:cs="宋体"/>
          <w:szCs w:val="21"/>
          <w:highlight w:val="none"/>
        </w:rPr>
        <w:t>职务：</w:t>
      </w:r>
      <w:r>
        <w:rPr>
          <w:rFonts w:hint="eastAsia" w:ascii="宋体" w:hAnsi="宋体" w:cs="宋体"/>
          <w:szCs w:val="21"/>
          <w:highlight w:val="none"/>
          <w:u w:val="single"/>
        </w:rPr>
        <w:t xml:space="preserve">     </w:t>
      </w:r>
    </w:p>
    <w:p>
      <w:pPr>
        <w:wordWrap w:val="0"/>
        <w:spacing w:line="440" w:lineRule="exact"/>
        <w:ind w:firstLine="440" w:firstLineChars="200"/>
        <w:rPr>
          <w:rFonts w:hint="eastAsia" w:ascii="宋体" w:hAnsi="宋体" w:cs="宋体"/>
          <w:szCs w:val="21"/>
          <w:highlight w:val="none"/>
          <w:u w:val="single"/>
        </w:rPr>
      </w:pPr>
      <w:r>
        <w:rPr>
          <w:rFonts w:hint="eastAsia" w:ascii="宋体" w:hAnsi="宋体" w:cs="宋体"/>
          <w:szCs w:val="21"/>
          <w:highlight w:val="none"/>
        </w:rPr>
        <w:t>系</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供应商</w:t>
      </w:r>
      <w:r>
        <w:rPr>
          <w:rFonts w:hint="eastAsia" w:ascii="宋体" w:hAnsi="宋体" w:cs="宋体"/>
          <w:szCs w:val="21"/>
          <w:highlight w:val="none"/>
        </w:rPr>
        <w:t>单位名称）的法定代表人。</w:t>
      </w:r>
    </w:p>
    <w:p>
      <w:pPr>
        <w:wordWrap w:val="0"/>
        <w:spacing w:line="440" w:lineRule="exact"/>
        <w:ind w:firstLine="440" w:firstLineChars="200"/>
        <w:rPr>
          <w:rFonts w:hint="eastAsia" w:ascii="宋体" w:hAnsi="宋体" w:cs="宋体"/>
          <w:szCs w:val="21"/>
          <w:highlight w:val="none"/>
        </w:rPr>
      </w:pPr>
      <w:r>
        <w:rPr>
          <w:rFonts w:hint="eastAsia" w:ascii="宋体" w:hAnsi="宋体" w:cs="宋体"/>
          <w:szCs w:val="21"/>
          <w:highlight w:val="none"/>
        </w:rPr>
        <w:t>特此证明。</w:t>
      </w:r>
    </w:p>
    <w:p>
      <w:pPr>
        <w:wordWrap w:val="0"/>
        <w:spacing w:line="440" w:lineRule="exact"/>
        <w:ind w:firstLine="660" w:firstLineChars="300"/>
        <w:rPr>
          <w:rFonts w:hint="eastAsia" w:ascii="宋体" w:hAnsi="宋体" w:cs="宋体"/>
          <w:szCs w:val="21"/>
          <w:highlight w:val="none"/>
        </w:rPr>
      </w:pPr>
      <w:r>
        <w:rPr>
          <w:rFonts w:hint="eastAsia" w:ascii="宋体" w:hAnsi="宋体" w:cs="宋体"/>
          <w:szCs w:val="21"/>
          <w:highlight w:val="none"/>
        </w:rPr>
        <w:t>后附：法定代表人身份证复印件</w:t>
      </w:r>
    </w:p>
    <w:p>
      <w:pPr>
        <w:wordWrap w:val="0"/>
        <w:spacing w:line="440" w:lineRule="exact"/>
        <w:rPr>
          <w:rFonts w:hint="eastAsia" w:ascii="宋体" w:hAnsi="宋体" w:cs="宋体"/>
          <w:szCs w:val="21"/>
          <w:highlight w:val="none"/>
        </w:rPr>
      </w:pPr>
    </w:p>
    <w:p>
      <w:pPr>
        <w:wordWrap w:val="0"/>
        <w:spacing w:line="440" w:lineRule="exact"/>
        <w:rPr>
          <w:rFonts w:hint="eastAsia" w:ascii="宋体" w:hAnsi="宋体" w:cs="宋体"/>
          <w:szCs w:val="21"/>
          <w:highlight w:val="none"/>
        </w:rPr>
      </w:pPr>
    </w:p>
    <w:p>
      <w:pPr>
        <w:wordWrap w:val="0"/>
        <w:spacing w:line="440" w:lineRule="exact"/>
        <w:rPr>
          <w:rFonts w:hint="eastAsia" w:ascii="宋体" w:hAnsi="宋体" w:cs="宋体"/>
          <w:szCs w:val="21"/>
          <w:highlight w:val="none"/>
        </w:rPr>
      </w:pPr>
    </w:p>
    <w:p>
      <w:pPr>
        <w:wordWrap w:val="0"/>
        <w:spacing w:line="440" w:lineRule="exact"/>
        <w:rPr>
          <w:rFonts w:hint="eastAsia" w:ascii="宋体" w:hAnsi="宋体" w:cs="宋体"/>
          <w:szCs w:val="21"/>
          <w:highlight w:val="none"/>
        </w:rPr>
      </w:pPr>
    </w:p>
    <w:p>
      <w:pPr>
        <w:wordWrap w:val="0"/>
        <w:spacing w:line="440" w:lineRule="exact"/>
        <w:ind w:firstLine="3300" w:firstLineChars="1500"/>
        <w:rPr>
          <w:rFonts w:hint="eastAsia" w:ascii="宋体" w:hAnsi="宋体" w:cs="宋体"/>
          <w:szCs w:val="21"/>
          <w:highlight w:val="none"/>
        </w:rPr>
      </w:pPr>
      <w:r>
        <w:rPr>
          <w:rFonts w:hint="eastAsia" w:ascii="宋体" w:hAnsi="宋体" w:cs="宋体"/>
          <w:bCs/>
          <w:szCs w:val="21"/>
          <w:highlight w:val="none"/>
          <w:lang w:eastAsia="zh-CN"/>
        </w:rPr>
        <w:t>供应商</w:t>
      </w:r>
      <w:r>
        <w:rPr>
          <w:rFonts w:hint="eastAsia" w:ascii="宋体" w:hAnsi="宋体" w:cs="宋体"/>
          <w:szCs w:val="21"/>
          <w:highlight w:val="none"/>
        </w:rPr>
        <w:t>单位名称：</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wordWrap w:val="0"/>
        <w:spacing w:line="440" w:lineRule="exact"/>
        <w:ind w:firstLine="3300" w:firstLineChars="1500"/>
        <w:rPr>
          <w:rFonts w:hint="eastAsia" w:ascii="宋体" w:hAnsi="宋体" w:cs="宋体"/>
          <w:szCs w:val="21"/>
          <w:highlight w:val="none"/>
        </w:rPr>
      </w:pPr>
      <w:r>
        <w:rPr>
          <w:rFonts w:hint="eastAsia" w:ascii="宋体" w:hAnsi="宋体" w:cs="宋体"/>
          <w:szCs w:val="21"/>
          <w:highlight w:val="none"/>
        </w:rPr>
        <w:t>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pStyle w:val="2"/>
        <w:bidi w:val="0"/>
        <w:jc w:val="center"/>
        <w:rPr>
          <w:rFonts w:hint="eastAsia" w:ascii="宋体" w:hAnsi="宋体" w:cs="宋体"/>
          <w:b/>
          <w:bCs/>
          <w:sz w:val="24"/>
          <w:highlight w:val="none"/>
        </w:rPr>
      </w:pPr>
      <w:r>
        <w:rPr>
          <w:rFonts w:hint="eastAsia" w:ascii="宋体" w:hAnsi="宋体" w:cs="宋体"/>
          <w:szCs w:val="21"/>
          <w:highlight w:val="none"/>
        </w:rPr>
        <w:br w:type="page"/>
      </w:r>
      <w:r>
        <w:rPr>
          <w:rFonts w:hint="eastAsia" w:ascii="宋体" w:hAnsi="宋体" w:eastAsia="宋体" w:cs="宋体"/>
          <w:b/>
          <w:bCs/>
          <w:kern w:val="2"/>
          <w:sz w:val="32"/>
          <w:szCs w:val="32"/>
          <w:highlight w:val="none"/>
          <w:lang w:val="en-US" w:eastAsia="zh-CN" w:bidi="ar-SA"/>
        </w:rPr>
        <w:t>三、授权委托书</w:t>
      </w:r>
    </w:p>
    <w:p>
      <w:pPr>
        <w:wordWrap w:val="0"/>
        <w:spacing w:line="440" w:lineRule="exact"/>
        <w:ind w:firstLine="440" w:firstLineChars="200"/>
        <w:rPr>
          <w:rFonts w:hint="eastAsia" w:ascii="宋体" w:hAnsi="宋体" w:cs="宋体"/>
          <w:bCs/>
          <w:szCs w:val="21"/>
          <w:highlight w:val="none"/>
        </w:rPr>
      </w:pPr>
      <w:r>
        <w:rPr>
          <w:rFonts w:hint="eastAsia" w:ascii="宋体" w:hAnsi="宋体" w:cs="宋体"/>
          <w:bCs/>
          <w:szCs w:val="21"/>
          <w:highlight w:val="none"/>
        </w:rPr>
        <w:t>本人</w:t>
      </w:r>
      <w:r>
        <w:rPr>
          <w:rFonts w:hint="eastAsia" w:ascii="宋体" w:hAnsi="宋体" w:cs="宋体"/>
          <w:bCs/>
          <w:szCs w:val="21"/>
          <w:highlight w:val="none"/>
          <w:u w:val="single"/>
        </w:rPr>
        <w:t xml:space="preserve">         </w:t>
      </w:r>
      <w:r>
        <w:rPr>
          <w:rFonts w:hint="eastAsia" w:ascii="宋体" w:hAnsi="宋体" w:cs="宋体"/>
          <w:bCs/>
          <w:szCs w:val="21"/>
          <w:highlight w:val="none"/>
        </w:rPr>
        <w:t>系</w:t>
      </w:r>
      <w:r>
        <w:rPr>
          <w:rFonts w:hint="eastAsia" w:ascii="宋体" w:hAnsi="宋体" w:cs="宋体"/>
          <w:bCs/>
          <w:szCs w:val="21"/>
          <w:highlight w:val="none"/>
          <w:u w:val="single"/>
        </w:rPr>
        <w:t xml:space="preserve">            </w:t>
      </w:r>
      <w:r>
        <w:rPr>
          <w:rFonts w:hint="eastAsia" w:ascii="宋体" w:hAnsi="宋体" w:cs="宋体"/>
          <w:bCs/>
          <w:szCs w:val="21"/>
          <w:highlight w:val="none"/>
        </w:rPr>
        <w:t>（</w:t>
      </w:r>
      <w:r>
        <w:rPr>
          <w:rFonts w:hint="eastAsia" w:ascii="宋体" w:hAnsi="宋体" w:cs="宋体"/>
          <w:bCs/>
          <w:szCs w:val="21"/>
          <w:highlight w:val="none"/>
          <w:lang w:eastAsia="zh-CN"/>
        </w:rPr>
        <w:t>供应商</w:t>
      </w:r>
      <w:r>
        <w:rPr>
          <w:rFonts w:hint="eastAsia" w:ascii="宋体" w:hAnsi="宋体" w:cs="宋体"/>
          <w:bCs/>
          <w:szCs w:val="21"/>
          <w:highlight w:val="none"/>
        </w:rPr>
        <w:t>名称）的法定代表人，现委托</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（姓名）为我方代理人。代理人根据授权，以我方名义签署、澄清、说明、补正、递交、撤回、修改 </w:t>
      </w:r>
      <w:r>
        <w:rPr>
          <w:rFonts w:hint="eastAsia" w:ascii="宋体" w:hAnsi="宋体" w:cs="宋体"/>
          <w:bCs/>
          <w:szCs w:val="21"/>
          <w:highlight w:val="none"/>
          <w:u w:val="single"/>
        </w:rPr>
        <w:t xml:space="preserve">                 </w:t>
      </w:r>
      <w:r>
        <w:rPr>
          <w:rFonts w:hint="eastAsia" w:ascii="宋体" w:hAnsi="宋体" w:cs="宋体"/>
          <w:bCs/>
          <w:szCs w:val="21"/>
          <w:highlight w:val="none"/>
        </w:rPr>
        <w:t>（项目名称</w:t>
      </w:r>
      <w:r>
        <w:rPr>
          <w:rFonts w:hint="eastAsia" w:ascii="宋体" w:hAnsi="宋体" w:eastAsia="宋体" w:cs="宋体"/>
          <w:bCs/>
          <w:szCs w:val="21"/>
          <w:highlight w:val="none"/>
          <w:lang w:eastAsia="zh-CN"/>
        </w:rPr>
        <w:t>、包号</w:t>
      </w:r>
      <w:r>
        <w:rPr>
          <w:rFonts w:hint="eastAsia" w:ascii="宋体" w:hAnsi="宋体" w:cs="宋体"/>
          <w:bCs/>
          <w:szCs w:val="21"/>
          <w:highlight w:val="none"/>
        </w:rPr>
        <w:t>）投标文件、签订合同和处理有关事宜，其法律后果由我方承担。</w:t>
      </w:r>
    </w:p>
    <w:p>
      <w:pPr>
        <w:wordWrap w:val="0"/>
        <w:spacing w:line="440" w:lineRule="exact"/>
        <w:ind w:firstLine="440" w:firstLineChars="200"/>
        <w:rPr>
          <w:rFonts w:hint="eastAsia" w:ascii="宋体" w:hAnsi="宋体" w:cs="宋体"/>
          <w:bCs/>
          <w:szCs w:val="21"/>
          <w:highlight w:val="none"/>
        </w:rPr>
      </w:pPr>
      <w:r>
        <w:rPr>
          <w:rFonts w:hint="eastAsia" w:ascii="宋体" w:hAnsi="宋体" w:cs="宋体"/>
          <w:bCs/>
          <w:szCs w:val="21"/>
          <w:highlight w:val="none"/>
        </w:rPr>
        <w:t>委托期限：</w:t>
      </w:r>
      <w:r>
        <w:rPr>
          <w:rFonts w:hint="eastAsia" w:ascii="宋体" w:hAnsi="宋体" w:cs="宋体"/>
          <w:bCs/>
          <w:szCs w:val="21"/>
          <w:highlight w:val="none"/>
          <w:u w:val="single"/>
        </w:rPr>
        <w:t xml:space="preserve">              </w:t>
      </w:r>
      <w:r>
        <w:rPr>
          <w:rFonts w:hint="eastAsia" w:ascii="宋体" w:hAnsi="宋体" w:cs="宋体"/>
          <w:bCs/>
          <w:szCs w:val="21"/>
          <w:highlight w:val="none"/>
        </w:rPr>
        <w:t>。</w:t>
      </w:r>
    </w:p>
    <w:p>
      <w:pPr>
        <w:wordWrap w:val="0"/>
        <w:spacing w:line="440" w:lineRule="exact"/>
        <w:ind w:firstLine="440" w:firstLineChars="200"/>
        <w:rPr>
          <w:rFonts w:hint="eastAsia" w:ascii="宋体" w:hAnsi="宋体" w:cs="宋体"/>
          <w:bCs/>
          <w:szCs w:val="21"/>
          <w:highlight w:val="none"/>
        </w:rPr>
      </w:pPr>
      <w:r>
        <w:rPr>
          <w:rFonts w:hint="eastAsia" w:ascii="宋体" w:hAnsi="宋体" w:cs="宋体"/>
          <w:bCs/>
          <w:szCs w:val="21"/>
          <w:highlight w:val="none"/>
        </w:rPr>
        <w:t>代理人无权转委托权。</w:t>
      </w:r>
    </w:p>
    <w:p>
      <w:pPr>
        <w:wordWrap w:val="0"/>
        <w:spacing w:line="440" w:lineRule="exact"/>
        <w:ind w:firstLine="440" w:firstLineChars="200"/>
        <w:rPr>
          <w:rFonts w:hint="eastAsia"/>
          <w:highlight w:val="none"/>
        </w:rPr>
      </w:pPr>
      <w:r>
        <w:rPr>
          <w:rFonts w:hint="eastAsia" w:ascii="宋体" w:hAnsi="宋体" w:cs="宋体"/>
          <w:bCs/>
          <w:szCs w:val="21"/>
          <w:highlight w:val="none"/>
        </w:rPr>
        <w:t>（附：法定代表人和委托代理人身份证复印件）</w:t>
      </w:r>
    </w:p>
    <w:p>
      <w:pPr>
        <w:wordWrap w:val="0"/>
        <w:spacing w:line="440" w:lineRule="exact"/>
        <w:ind w:left="840"/>
        <w:rPr>
          <w:rFonts w:hint="eastAsia" w:ascii="宋体" w:hAnsi="宋体" w:cs="宋体"/>
          <w:bCs/>
          <w:szCs w:val="21"/>
          <w:highlight w:val="none"/>
        </w:rPr>
      </w:pPr>
      <w:r>
        <w:rPr>
          <w:rFonts w:hint="eastAsia" w:ascii="宋体" w:hAnsi="宋体" w:cs="宋体"/>
          <w:bCs/>
          <w:szCs w:val="21"/>
          <w:highlight w:val="none"/>
        </w:rPr>
        <w:t xml:space="preserve"> </w:t>
      </w:r>
    </w:p>
    <w:p>
      <w:pPr>
        <w:wordWrap w:val="0"/>
        <w:spacing w:line="440" w:lineRule="exact"/>
        <w:ind w:left="840"/>
        <w:rPr>
          <w:rFonts w:hint="eastAsia" w:ascii="宋体" w:hAnsi="宋体" w:cs="宋体"/>
          <w:bCs/>
          <w:szCs w:val="21"/>
          <w:highlight w:val="none"/>
        </w:rPr>
      </w:pPr>
      <w:r>
        <w:rPr>
          <w:rFonts w:hint="eastAsia" w:ascii="宋体" w:hAnsi="宋体" w:cs="宋体"/>
          <w:bCs/>
          <w:szCs w:val="21"/>
          <w:highlight w:val="none"/>
        </w:rPr>
        <w:t xml:space="preserve"> </w:t>
      </w:r>
    </w:p>
    <w:p>
      <w:pPr>
        <w:wordWrap w:val="0"/>
        <w:spacing w:line="440" w:lineRule="exact"/>
        <w:ind w:left="840"/>
        <w:rPr>
          <w:rFonts w:hint="eastAsia" w:ascii="宋体" w:hAnsi="宋体" w:cs="宋体"/>
          <w:bCs/>
          <w:szCs w:val="21"/>
          <w:highlight w:val="none"/>
        </w:rPr>
      </w:pPr>
    </w:p>
    <w:p>
      <w:pPr>
        <w:wordWrap w:val="0"/>
        <w:spacing w:line="440" w:lineRule="exact"/>
        <w:ind w:left="840"/>
        <w:rPr>
          <w:rFonts w:hint="eastAsia" w:ascii="宋体" w:hAnsi="宋体" w:cs="宋体"/>
          <w:bCs/>
          <w:szCs w:val="21"/>
          <w:highlight w:val="none"/>
        </w:rPr>
      </w:pPr>
    </w:p>
    <w:p>
      <w:pPr>
        <w:wordWrap w:val="0"/>
        <w:spacing w:line="440" w:lineRule="exact"/>
        <w:ind w:firstLine="3300" w:firstLineChars="1500"/>
        <w:rPr>
          <w:rFonts w:hint="eastAsia" w:ascii="宋体" w:hAnsi="宋体" w:cs="宋体"/>
          <w:bCs/>
          <w:szCs w:val="21"/>
          <w:highlight w:val="none"/>
        </w:rPr>
      </w:pPr>
      <w:r>
        <w:rPr>
          <w:rFonts w:hint="eastAsia" w:ascii="宋体" w:hAnsi="宋体" w:cs="宋体"/>
          <w:bCs/>
          <w:szCs w:val="21"/>
          <w:highlight w:val="none"/>
          <w:lang w:eastAsia="zh-CN"/>
        </w:rPr>
        <w:t>供应商</w:t>
      </w:r>
      <w:r>
        <w:rPr>
          <w:rFonts w:hint="eastAsia" w:ascii="宋体" w:hAnsi="宋体" w:cs="宋体"/>
          <w:bCs/>
          <w:szCs w:val="21"/>
          <w:highlight w:val="none"/>
        </w:rPr>
        <w:t>：</w:t>
      </w:r>
      <w:r>
        <w:rPr>
          <w:rFonts w:hint="eastAsia" w:ascii="宋体" w:hAnsi="宋体" w:cs="宋体"/>
          <w:bCs/>
          <w:szCs w:val="21"/>
          <w:highlight w:val="none"/>
          <w:u w:val="single"/>
        </w:rPr>
        <w:t xml:space="preserve">                 </w:t>
      </w:r>
      <w:r>
        <w:rPr>
          <w:rFonts w:hint="eastAsia" w:ascii="宋体" w:hAnsi="宋体" w:cs="宋体"/>
          <w:bCs/>
          <w:szCs w:val="21"/>
          <w:highlight w:val="none"/>
        </w:rPr>
        <w:t>（盖单位公章）</w:t>
      </w:r>
    </w:p>
    <w:p>
      <w:pPr>
        <w:wordWrap w:val="0"/>
        <w:spacing w:line="440" w:lineRule="exact"/>
        <w:ind w:firstLine="3300" w:firstLineChars="1500"/>
        <w:rPr>
          <w:rFonts w:hint="eastAsia" w:ascii="宋体" w:hAnsi="宋体" w:cs="宋体"/>
          <w:bCs/>
          <w:szCs w:val="21"/>
          <w:highlight w:val="none"/>
        </w:rPr>
      </w:pPr>
      <w:r>
        <w:rPr>
          <w:rFonts w:hint="eastAsia" w:ascii="宋体" w:hAnsi="宋体" w:cs="宋体"/>
          <w:bCs/>
          <w:szCs w:val="21"/>
          <w:highlight w:val="none"/>
        </w:rPr>
        <w:t>法定代表人：</w:t>
      </w:r>
      <w:r>
        <w:rPr>
          <w:rFonts w:hint="eastAsia" w:ascii="宋体" w:hAnsi="宋体" w:cs="宋体"/>
          <w:bCs/>
          <w:szCs w:val="21"/>
          <w:highlight w:val="none"/>
          <w:u w:val="single"/>
        </w:rPr>
        <w:t xml:space="preserve">                      </w:t>
      </w:r>
      <w:r>
        <w:rPr>
          <w:rFonts w:hint="eastAsia" w:ascii="宋体" w:hAnsi="宋体" w:cs="宋体"/>
          <w:bCs/>
          <w:szCs w:val="21"/>
          <w:highlight w:val="none"/>
        </w:rPr>
        <w:t>（签字或盖章）</w:t>
      </w:r>
    </w:p>
    <w:p>
      <w:pPr>
        <w:wordWrap w:val="0"/>
        <w:spacing w:line="440" w:lineRule="exact"/>
        <w:ind w:firstLine="3300" w:firstLineChars="1500"/>
        <w:rPr>
          <w:rFonts w:hint="eastAsia" w:ascii="宋体" w:hAnsi="宋体" w:cs="宋体"/>
          <w:bCs/>
          <w:szCs w:val="21"/>
          <w:highlight w:val="none"/>
        </w:rPr>
      </w:pPr>
      <w:r>
        <w:rPr>
          <w:rFonts w:hint="eastAsia" w:ascii="宋体" w:hAnsi="宋体" w:cs="宋体"/>
          <w:bCs/>
          <w:szCs w:val="21"/>
          <w:highlight w:val="none"/>
        </w:rPr>
        <w:t>身份证号码：</w:t>
      </w:r>
      <w:r>
        <w:rPr>
          <w:rFonts w:hint="eastAsia" w:ascii="宋体" w:hAnsi="宋体" w:cs="宋体"/>
          <w:bCs/>
          <w:szCs w:val="21"/>
          <w:highlight w:val="none"/>
          <w:u w:val="single"/>
        </w:rPr>
        <w:t xml:space="preserve">                              </w:t>
      </w:r>
    </w:p>
    <w:p>
      <w:pPr>
        <w:wordWrap w:val="0"/>
        <w:spacing w:line="440" w:lineRule="exact"/>
        <w:ind w:firstLine="3300" w:firstLineChars="1500"/>
        <w:rPr>
          <w:rFonts w:hint="eastAsia" w:ascii="宋体" w:hAnsi="宋体" w:cs="宋体"/>
          <w:bCs/>
          <w:szCs w:val="21"/>
          <w:highlight w:val="none"/>
        </w:rPr>
      </w:pPr>
      <w:r>
        <w:rPr>
          <w:rFonts w:hint="eastAsia" w:ascii="宋体" w:hAnsi="宋体" w:cs="宋体"/>
          <w:bCs/>
          <w:szCs w:val="21"/>
          <w:highlight w:val="none"/>
        </w:rPr>
        <w:t>委托代理人：</w:t>
      </w:r>
      <w:r>
        <w:rPr>
          <w:rFonts w:hint="eastAsia" w:ascii="宋体" w:hAnsi="宋体" w:cs="宋体"/>
          <w:bCs/>
          <w:szCs w:val="21"/>
          <w:highlight w:val="none"/>
          <w:u w:val="single"/>
        </w:rPr>
        <w:t xml:space="preserve">                       </w:t>
      </w:r>
      <w:r>
        <w:rPr>
          <w:rFonts w:hint="eastAsia" w:ascii="宋体" w:hAnsi="宋体" w:cs="宋体"/>
          <w:bCs/>
          <w:szCs w:val="21"/>
          <w:highlight w:val="none"/>
        </w:rPr>
        <w:t>（签字或盖章）</w:t>
      </w:r>
    </w:p>
    <w:p>
      <w:pPr>
        <w:tabs>
          <w:tab w:val="left" w:pos="6510"/>
        </w:tabs>
        <w:wordWrap w:val="0"/>
        <w:spacing w:line="440" w:lineRule="exact"/>
        <w:ind w:firstLine="3300" w:firstLineChars="1500"/>
        <w:rPr>
          <w:rFonts w:hint="eastAsia" w:ascii="宋体" w:hAnsi="宋体" w:cs="宋体"/>
          <w:bCs/>
          <w:szCs w:val="21"/>
          <w:highlight w:val="none"/>
        </w:rPr>
      </w:pPr>
      <w:r>
        <w:rPr>
          <w:rFonts w:hint="eastAsia" w:ascii="宋体" w:hAnsi="宋体" w:cs="宋体"/>
          <w:bCs/>
          <w:szCs w:val="21"/>
          <w:highlight w:val="none"/>
        </w:rPr>
        <w:t>身份证号码：</w:t>
      </w:r>
      <w:r>
        <w:rPr>
          <w:rFonts w:hint="eastAsia" w:ascii="宋体" w:hAnsi="宋体" w:cs="宋体"/>
          <w:bCs/>
          <w:szCs w:val="21"/>
          <w:highlight w:val="none"/>
          <w:u w:val="single"/>
        </w:rPr>
        <w:t xml:space="preserve">                              </w:t>
      </w:r>
    </w:p>
    <w:p>
      <w:pPr>
        <w:wordWrap w:val="0"/>
        <w:spacing w:line="440" w:lineRule="exact"/>
        <w:ind w:firstLine="3300" w:firstLineChars="1500"/>
        <w:rPr>
          <w:rFonts w:hint="eastAsia" w:ascii="宋体" w:hAnsi="宋体" w:cs="宋体"/>
          <w:szCs w:val="21"/>
          <w:highlight w:val="none"/>
        </w:rPr>
      </w:pPr>
      <w:r>
        <w:rPr>
          <w:rFonts w:hint="eastAsia" w:ascii="宋体" w:hAnsi="宋体" w:cs="宋体"/>
          <w:szCs w:val="21"/>
          <w:highlight w:val="none"/>
        </w:rPr>
        <w:t>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pStyle w:val="27"/>
        <w:spacing w:line="480" w:lineRule="auto"/>
        <w:ind w:firstLine="0"/>
        <w:rPr>
          <w:rFonts w:ascii="宋体" w:hAnsi="宋体" w:eastAsia="宋体"/>
          <w:sz w:val="21"/>
          <w:szCs w:val="21"/>
          <w:highlight w:val="none"/>
        </w:rPr>
        <w:sectPr>
          <w:headerReference r:id="rId18" w:type="first"/>
          <w:footerReference r:id="rId20" w:type="first"/>
          <w:headerReference r:id="rId17" w:type="default"/>
          <w:footerReference r:id="rId19" w:type="default"/>
          <w:pgSz w:w="11907" w:h="16840"/>
          <w:pgMar w:top="1701" w:right="1418" w:bottom="1418" w:left="1531" w:header="794" w:footer="851" w:gutter="0"/>
          <w:pgBorders>
            <w:top w:val="none" w:sz="0" w:space="0"/>
            <w:left w:val="none" w:sz="0" w:space="0"/>
            <w:bottom w:val="none" w:sz="0" w:space="0"/>
            <w:right w:val="none" w:sz="0" w:space="0"/>
          </w:pgBorders>
          <w:pgNumType w:fmt="decimal"/>
          <w:cols w:space="720" w:num="1"/>
          <w:titlePg/>
          <w:docGrid w:linePitch="306" w:charSpace="-2"/>
        </w:sectPr>
      </w:pPr>
    </w:p>
    <w:p>
      <w:pPr>
        <w:pStyle w:val="2"/>
        <w:bidi w:val="0"/>
        <w:jc w:val="center"/>
        <w:rPr>
          <w:rFonts w:hint="eastAsia" w:ascii="宋体" w:hAnsi="宋体" w:eastAsia="宋体" w:cs="宋体"/>
          <w:b/>
          <w:bCs/>
          <w:highlight w:val="none"/>
          <w:lang w:val="en-US" w:eastAsia="zh-CN"/>
        </w:rPr>
      </w:pPr>
      <w:bookmarkStart w:id="167" w:name="_Toc354753299"/>
      <w:r>
        <w:rPr>
          <w:rFonts w:hint="eastAsia" w:ascii="宋体" w:hAnsi="宋体" w:eastAsia="宋体" w:cs="宋体"/>
          <w:b/>
          <w:bCs/>
          <w:highlight w:val="none"/>
          <w:lang w:val="en-US" w:eastAsia="zh-CN"/>
        </w:rPr>
        <w:t>四、投标报价明细表</w:t>
      </w:r>
    </w:p>
    <w:p>
      <w:pPr>
        <w:rPr>
          <w:rFonts w:hint="eastAsia"/>
          <w:szCs w:val="21"/>
          <w:highlight w:val="none"/>
        </w:rPr>
      </w:pPr>
    </w:p>
    <w:p>
      <w:pPr>
        <w:rPr>
          <w:rFonts w:hint="default" w:eastAsia="宋体"/>
          <w:szCs w:val="21"/>
          <w:highlight w:val="none"/>
          <w:lang w:val="en-US" w:eastAsia="zh-CN"/>
        </w:rPr>
      </w:pPr>
      <w:r>
        <w:rPr>
          <w:rFonts w:hint="eastAsia" w:eastAsia="宋体"/>
          <w:szCs w:val="21"/>
          <w:highlight w:val="none"/>
          <w:lang w:eastAsia="zh-CN"/>
        </w:rPr>
        <w:t>单位：人民币</w:t>
      </w:r>
      <w:r>
        <w:rPr>
          <w:rFonts w:hint="eastAsia" w:eastAsia="宋体"/>
          <w:szCs w:val="21"/>
          <w:highlight w:val="none"/>
          <w:lang w:val="en-US" w:eastAsia="zh-CN"/>
        </w:rPr>
        <w:t>/元</w:t>
      </w:r>
    </w:p>
    <w:p>
      <w:pPr>
        <w:rPr>
          <w:rFonts w:hint="eastAsia"/>
          <w:szCs w:val="21"/>
          <w:highlight w:val="none"/>
        </w:rPr>
      </w:pPr>
    </w:p>
    <w:tbl>
      <w:tblPr>
        <w:tblStyle w:val="18"/>
        <w:tblW w:w="10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130"/>
        <w:gridCol w:w="1131"/>
        <w:gridCol w:w="1131"/>
        <w:gridCol w:w="1131"/>
        <w:gridCol w:w="1131"/>
        <w:gridCol w:w="1131"/>
        <w:gridCol w:w="113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0"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序号</w:t>
            </w:r>
          </w:p>
        </w:tc>
        <w:tc>
          <w:tcPr>
            <w:tcW w:w="1130"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设备名称</w:t>
            </w:r>
          </w:p>
        </w:tc>
        <w:tc>
          <w:tcPr>
            <w:tcW w:w="1131" w:type="dxa"/>
            <w:vAlign w:val="center"/>
          </w:tcPr>
          <w:p>
            <w:pPr>
              <w:jc w:val="center"/>
              <w:rPr>
                <w:rFonts w:hint="default" w:eastAsia="宋体"/>
                <w:kern w:val="2"/>
                <w:szCs w:val="21"/>
                <w:highlight w:val="none"/>
                <w:vertAlign w:val="baseline"/>
                <w:lang w:val="en-US" w:eastAsia="zh-CN"/>
              </w:rPr>
            </w:pPr>
            <w:r>
              <w:rPr>
                <w:rFonts w:hint="eastAsia" w:eastAsia="宋体"/>
                <w:kern w:val="2"/>
                <w:szCs w:val="21"/>
                <w:highlight w:val="none"/>
                <w:vertAlign w:val="baseline"/>
                <w:lang w:eastAsia="zh-CN"/>
              </w:rPr>
              <w:t>规格</w:t>
            </w:r>
            <w:r>
              <w:rPr>
                <w:rFonts w:hint="eastAsia" w:eastAsia="宋体"/>
                <w:kern w:val="2"/>
                <w:szCs w:val="21"/>
                <w:highlight w:val="none"/>
                <w:vertAlign w:val="baseline"/>
                <w:lang w:val="en-US" w:eastAsia="zh-CN"/>
              </w:rPr>
              <w:t>/型号</w:t>
            </w:r>
          </w:p>
        </w:tc>
        <w:tc>
          <w:tcPr>
            <w:tcW w:w="1131" w:type="dxa"/>
            <w:vAlign w:val="center"/>
          </w:tcPr>
          <w:p>
            <w:pPr>
              <w:jc w:val="center"/>
              <w:rPr>
                <w:rFonts w:hint="default" w:eastAsia="宋体"/>
                <w:kern w:val="2"/>
                <w:szCs w:val="21"/>
                <w:highlight w:val="none"/>
                <w:vertAlign w:val="baseline"/>
                <w:lang w:val="en-US" w:eastAsia="zh-CN"/>
              </w:rPr>
            </w:pPr>
            <w:r>
              <w:rPr>
                <w:rFonts w:hint="eastAsia" w:eastAsia="宋体"/>
                <w:kern w:val="2"/>
                <w:szCs w:val="21"/>
                <w:highlight w:val="none"/>
                <w:vertAlign w:val="baseline"/>
                <w:lang w:eastAsia="zh-CN"/>
              </w:rPr>
              <w:t>品牌</w:t>
            </w:r>
            <w:r>
              <w:rPr>
                <w:rFonts w:hint="eastAsia" w:eastAsia="宋体"/>
                <w:kern w:val="2"/>
                <w:szCs w:val="21"/>
                <w:highlight w:val="none"/>
                <w:vertAlign w:val="baseline"/>
                <w:lang w:val="en-US" w:eastAsia="zh-CN"/>
              </w:rPr>
              <w:t>/厂商</w:t>
            </w:r>
          </w:p>
        </w:tc>
        <w:tc>
          <w:tcPr>
            <w:tcW w:w="1131"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数量</w:t>
            </w:r>
          </w:p>
        </w:tc>
        <w:tc>
          <w:tcPr>
            <w:tcW w:w="1131" w:type="dxa"/>
            <w:vAlign w:val="center"/>
          </w:tcPr>
          <w:p>
            <w:pPr>
              <w:jc w:val="center"/>
              <w:rPr>
                <w:rFonts w:hint="default" w:eastAsia="宋体"/>
                <w:kern w:val="2"/>
                <w:szCs w:val="21"/>
                <w:highlight w:val="none"/>
                <w:vertAlign w:val="baseline"/>
                <w:lang w:val="en-US" w:eastAsia="zh-CN"/>
              </w:rPr>
            </w:pPr>
            <w:r>
              <w:rPr>
                <w:rFonts w:hint="eastAsia" w:eastAsia="宋体"/>
                <w:kern w:val="2"/>
                <w:szCs w:val="21"/>
                <w:highlight w:val="none"/>
                <w:vertAlign w:val="baseline"/>
                <w:lang w:eastAsia="zh-CN"/>
              </w:rPr>
              <w:t>单价</w:t>
            </w:r>
          </w:p>
        </w:tc>
        <w:tc>
          <w:tcPr>
            <w:tcW w:w="1131"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总价</w:t>
            </w:r>
          </w:p>
        </w:tc>
        <w:tc>
          <w:tcPr>
            <w:tcW w:w="1131"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质保期</w:t>
            </w:r>
          </w:p>
        </w:tc>
        <w:tc>
          <w:tcPr>
            <w:tcW w:w="1131"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0" w:type="dxa"/>
          </w:tcPr>
          <w:p>
            <w:pPr>
              <w:rPr>
                <w:rFonts w:hint="eastAsia"/>
                <w:kern w:val="2"/>
                <w:szCs w:val="21"/>
                <w:highlight w:val="none"/>
                <w:vertAlign w:val="baseline"/>
              </w:rPr>
            </w:pPr>
          </w:p>
        </w:tc>
        <w:tc>
          <w:tcPr>
            <w:tcW w:w="1130"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0" w:type="dxa"/>
          </w:tcPr>
          <w:p>
            <w:pPr>
              <w:rPr>
                <w:rFonts w:hint="eastAsia"/>
                <w:kern w:val="2"/>
                <w:szCs w:val="21"/>
                <w:highlight w:val="none"/>
                <w:vertAlign w:val="baseline"/>
              </w:rPr>
            </w:pPr>
          </w:p>
        </w:tc>
        <w:tc>
          <w:tcPr>
            <w:tcW w:w="1130"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0" w:type="dxa"/>
          </w:tcPr>
          <w:p>
            <w:pPr>
              <w:rPr>
                <w:rFonts w:hint="eastAsia"/>
                <w:kern w:val="2"/>
                <w:szCs w:val="21"/>
                <w:highlight w:val="none"/>
                <w:vertAlign w:val="baseline"/>
              </w:rPr>
            </w:pPr>
          </w:p>
        </w:tc>
        <w:tc>
          <w:tcPr>
            <w:tcW w:w="1130"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0" w:type="dxa"/>
          </w:tcPr>
          <w:p>
            <w:pPr>
              <w:rPr>
                <w:rFonts w:hint="eastAsia"/>
                <w:kern w:val="2"/>
                <w:szCs w:val="21"/>
                <w:highlight w:val="none"/>
                <w:vertAlign w:val="baseline"/>
              </w:rPr>
            </w:pPr>
          </w:p>
        </w:tc>
        <w:tc>
          <w:tcPr>
            <w:tcW w:w="1130"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c>
          <w:tcPr>
            <w:tcW w:w="1131" w:type="dxa"/>
          </w:tcPr>
          <w:p>
            <w:pPr>
              <w:rPr>
                <w:rFonts w:hint="eastAsia"/>
                <w:kern w:val="2"/>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30" w:type="dxa"/>
            <w:vAlign w:val="center"/>
          </w:tcPr>
          <w:p>
            <w:pPr>
              <w:jc w:val="center"/>
              <w:rPr>
                <w:rFonts w:hint="eastAsia" w:eastAsia="宋体"/>
                <w:kern w:val="2"/>
                <w:szCs w:val="21"/>
                <w:highlight w:val="none"/>
                <w:vertAlign w:val="baseline"/>
                <w:lang w:eastAsia="zh-CN"/>
              </w:rPr>
            </w:pPr>
            <w:r>
              <w:rPr>
                <w:rFonts w:hint="eastAsia" w:eastAsia="宋体"/>
                <w:kern w:val="2"/>
                <w:szCs w:val="21"/>
                <w:highlight w:val="none"/>
                <w:vertAlign w:val="baseline"/>
                <w:lang w:eastAsia="zh-CN"/>
              </w:rPr>
              <w:t>合计</w:t>
            </w:r>
          </w:p>
        </w:tc>
        <w:tc>
          <w:tcPr>
            <w:tcW w:w="7916" w:type="dxa"/>
            <w:gridSpan w:val="7"/>
            <w:vAlign w:val="center"/>
          </w:tcPr>
          <w:p>
            <w:pPr>
              <w:jc w:val="center"/>
              <w:rPr>
                <w:rFonts w:hint="eastAsia"/>
                <w:kern w:val="2"/>
                <w:szCs w:val="21"/>
                <w:highlight w:val="none"/>
                <w:vertAlign w:val="baseline"/>
              </w:rPr>
            </w:pPr>
          </w:p>
        </w:tc>
        <w:tc>
          <w:tcPr>
            <w:tcW w:w="1131" w:type="dxa"/>
            <w:vAlign w:val="center"/>
          </w:tcPr>
          <w:p>
            <w:pPr>
              <w:jc w:val="center"/>
              <w:rPr>
                <w:rFonts w:hint="eastAsia"/>
                <w:kern w:val="2"/>
                <w:szCs w:val="21"/>
                <w:highlight w:val="none"/>
                <w:vertAlign w:val="baseline"/>
              </w:rPr>
            </w:pPr>
          </w:p>
        </w:tc>
      </w:tr>
    </w:tbl>
    <w:p>
      <w:pPr>
        <w:rPr>
          <w:rFonts w:hint="eastAsia"/>
          <w:szCs w:val="21"/>
          <w:highlight w:val="none"/>
        </w:rPr>
      </w:pPr>
    </w:p>
    <w:p>
      <w:pPr>
        <w:rPr>
          <w:rFonts w:hint="eastAsia"/>
          <w:szCs w:val="21"/>
          <w:highlight w:val="none"/>
        </w:rPr>
      </w:pPr>
    </w:p>
    <w:p>
      <w:pPr>
        <w:rPr>
          <w:rFonts w:hint="eastAsia"/>
          <w:szCs w:val="21"/>
          <w:highlight w:val="none"/>
        </w:rPr>
      </w:pPr>
    </w:p>
    <w:p>
      <w:pPr>
        <w:rPr>
          <w:rFonts w:hint="eastAsia"/>
          <w:szCs w:val="21"/>
          <w:highlight w:val="none"/>
        </w:rPr>
      </w:pPr>
      <w:r>
        <w:rPr>
          <w:rFonts w:hint="eastAsia" w:eastAsia="宋体"/>
          <w:szCs w:val="21"/>
          <w:highlight w:val="none"/>
          <w:lang w:eastAsia="zh-CN"/>
        </w:rPr>
        <w:t>注：</w:t>
      </w:r>
      <w:r>
        <w:rPr>
          <w:rFonts w:hint="eastAsia" w:eastAsia="宋体"/>
          <w:szCs w:val="21"/>
          <w:highlight w:val="none"/>
          <w:lang w:val="en-US" w:eastAsia="zh-CN"/>
        </w:rPr>
        <w:t>1.</w:t>
      </w:r>
      <w:r>
        <w:rPr>
          <w:rFonts w:hint="eastAsia"/>
          <w:szCs w:val="21"/>
          <w:highlight w:val="none"/>
          <w:lang w:eastAsia="zh-CN"/>
        </w:rPr>
        <w:t>供应商</w:t>
      </w:r>
      <w:r>
        <w:rPr>
          <w:rFonts w:hint="eastAsia"/>
          <w:szCs w:val="21"/>
          <w:highlight w:val="none"/>
        </w:rPr>
        <w:t>根据招标文件中规定的报价要求，价格构成、市场行情及其他伴随服务等因素报出投标报价，投标报价应包含各种人工费、材料费、机械设备费、</w:t>
      </w:r>
      <w:r>
        <w:rPr>
          <w:rFonts w:hint="eastAsia" w:eastAsia="宋体"/>
          <w:szCs w:val="21"/>
          <w:highlight w:val="none"/>
          <w:lang w:eastAsia="zh-CN"/>
        </w:rPr>
        <w:t>安装调试费、</w:t>
      </w:r>
      <w:r>
        <w:rPr>
          <w:rFonts w:hint="eastAsia"/>
          <w:szCs w:val="21"/>
          <w:highlight w:val="none"/>
        </w:rPr>
        <w:t>管理费、税费、现场服务费等全部费用。</w:t>
      </w:r>
    </w:p>
    <w:p>
      <w:pPr>
        <w:ind w:firstLine="440" w:firstLineChars="200"/>
        <w:rPr>
          <w:rFonts w:hint="eastAsia" w:eastAsia="宋体"/>
          <w:szCs w:val="21"/>
          <w:highlight w:val="none"/>
          <w:lang w:val="en-US" w:eastAsia="zh-CN"/>
        </w:rPr>
      </w:pPr>
      <w:r>
        <w:rPr>
          <w:rFonts w:hint="eastAsia" w:eastAsia="宋体"/>
          <w:szCs w:val="21"/>
          <w:highlight w:val="none"/>
          <w:lang w:val="en-US" w:eastAsia="zh-CN"/>
        </w:rPr>
        <w:t>2.</w:t>
      </w:r>
      <w:r>
        <w:rPr>
          <w:rFonts w:hint="eastAsia"/>
          <w:szCs w:val="21"/>
          <w:highlight w:val="none"/>
        </w:rPr>
        <w:t>本次招标的所有产品应在质保期内自带配件上门服务免费维护</w:t>
      </w:r>
      <w:r>
        <w:rPr>
          <w:rFonts w:hint="eastAsia" w:eastAsia="宋体"/>
          <w:szCs w:val="21"/>
          <w:highlight w:val="none"/>
          <w:lang w:eastAsia="zh-CN"/>
        </w:rPr>
        <w:t>。</w:t>
      </w:r>
    </w:p>
    <w:p>
      <w:pPr>
        <w:bidi w:val="0"/>
        <w:rPr>
          <w:rFonts w:hint="eastAsia"/>
          <w:highlight w:val="none"/>
        </w:rPr>
      </w:pPr>
    </w:p>
    <w:p>
      <w:pPr>
        <w:wordWrap w:val="0"/>
        <w:spacing w:line="440" w:lineRule="exact"/>
        <w:ind w:firstLine="3300" w:firstLineChars="1500"/>
        <w:rPr>
          <w:rFonts w:hint="eastAsia" w:ascii="宋体" w:hAnsi="宋体" w:cs="宋体"/>
          <w:bCs/>
          <w:szCs w:val="21"/>
          <w:highlight w:val="none"/>
        </w:rPr>
      </w:pPr>
    </w:p>
    <w:p>
      <w:pPr>
        <w:wordWrap w:val="0"/>
        <w:spacing w:line="440" w:lineRule="exact"/>
        <w:ind w:firstLine="3300" w:firstLineChars="1500"/>
        <w:rPr>
          <w:rFonts w:hint="eastAsia" w:ascii="宋体" w:hAnsi="宋体" w:cs="宋体"/>
          <w:szCs w:val="21"/>
          <w:highlight w:val="none"/>
        </w:rPr>
      </w:pPr>
      <w:r>
        <w:rPr>
          <w:rFonts w:hint="eastAsia" w:ascii="宋体" w:hAnsi="宋体" w:cs="宋体"/>
          <w:bCs/>
          <w:szCs w:val="21"/>
          <w:highlight w:val="none"/>
          <w:lang w:eastAsia="zh-CN"/>
        </w:rPr>
        <w:t>供应商</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wordWrap w:val="0"/>
        <w:spacing w:line="440" w:lineRule="exact"/>
        <w:ind w:firstLine="3300" w:firstLineChars="1500"/>
        <w:rPr>
          <w:rFonts w:hint="eastAsia"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                                           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auto"/>
        <w:jc w:val="center"/>
        <w:rPr>
          <w:rFonts w:hint="eastAsia" w:ascii="宋体" w:hAnsi="宋体"/>
          <w:b/>
          <w:sz w:val="36"/>
          <w:szCs w:val="36"/>
          <w:highlight w:val="none"/>
        </w:rPr>
      </w:pPr>
    </w:p>
    <w:p>
      <w:pPr>
        <w:pStyle w:val="2"/>
        <w:rPr>
          <w:rFonts w:hint="eastAsia"/>
          <w:highlight w:val="none"/>
        </w:rPr>
      </w:pPr>
    </w:p>
    <w:p>
      <w:pPr>
        <w:snapToGrid w:val="0"/>
        <w:spacing w:line="360" w:lineRule="auto"/>
        <w:jc w:val="center"/>
        <w:rPr>
          <w:rFonts w:hint="eastAsia" w:ascii="宋体" w:hAnsi="宋体"/>
          <w:szCs w:val="21"/>
          <w:highlight w:val="none"/>
        </w:rPr>
      </w:pPr>
    </w:p>
    <w:p>
      <w:pPr>
        <w:snapToGrid w:val="0"/>
        <w:spacing w:line="360" w:lineRule="auto"/>
        <w:rPr>
          <w:rFonts w:hint="eastAsia" w:ascii="宋体" w:hAnsi="宋体"/>
          <w:szCs w:val="21"/>
          <w:highlight w:val="none"/>
        </w:rPr>
      </w:pPr>
    </w:p>
    <w:bookmarkEnd w:id="167"/>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pStyle w:val="24"/>
        <w:rPr>
          <w:rFonts w:hint="eastAsia"/>
          <w:highlight w:val="none"/>
        </w:rPr>
      </w:pPr>
    </w:p>
    <w:p>
      <w:pPr>
        <w:pStyle w:val="2"/>
        <w:bidi w:val="0"/>
        <w:jc w:val="center"/>
        <w:rPr>
          <w:rFonts w:hint="eastAsia" w:ascii="宋体" w:hAnsi="宋体" w:eastAsia="宋体" w:cs="宋体"/>
          <w:b/>
          <w:bCs/>
          <w:highlight w:val="none"/>
        </w:rPr>
      </w:pPr>
      <w:r>
        <w:rPr>
          <w:rFonts w:hint="eastAsia" w:ascii="宋体" w:hAnsi="宋体" w:eastAsia="宋体" w:cs="宋体"/>
          <w:b/>
          <w:bCs/>
          <w:highlight w:val="none"/>
        </w:rPr>
        <w:t>五、资格审查资料</w:t>
      </w:r>
    </w:p>
    <w:p>
      <w:pPr>
        <w:spacing w:before="156" w:beforeLines="50" w:after="312" w:afterLines="100" w:line="440" w:lineRule="exact"/>
        <w:jc w:val="center"/>
        <w:outlineLvl w:val="0"/>
        <w:rPr>
          <w:rFonts w:hint="eastAsia"/>
          <w:b w:val="0"/>
          <w:bCs w:val="0"/>
          <w:sz w:val="30"/>
          <w:szCs w:val="30"/>
          <w:highlight w:val="none"/>
        </w:rPr>
      </w:pPr>
      <w:bookmarkStart w:id="168" w:name="_Toc326052080"/>
      <w:bookmarkStart w:id="169" w:name="_Toc326053873"/>
      <w:bookmarkStart w:id="170" w:name="_Toc510128212"/>
      <w:bookmarkStart w:id="171" w:name="_Toc510212681"/>
      <w:bookmarkStart w:id="172" w:name="_Toc17303"/>
      <w:bookmarkStart w:id="173" w:name="_Toc13073"/>
      <w:bookmarkStart w:id="174" w:name="_Toc1242"/>
      <w:bookmarkStart w:id="175" w:name="_Toc18949"/>
      <w:bookmarkStart w:id="176" w:name="_Toc499196607"/>
      <w:r>
        <w:rPr>
          <w:rFonts w:hint="eastAsia" w:ascii="宋体" w:hAnsi="宋体"/>
          <w:b/>
          <w:bCs/>
          <w:sz w:val="24"/>
          <w:highlight w:val="none"/>
        </w:rPr>
        <w:t>（一）</w:t>
      </w:r>
      <w:r>
        <w:rPr>
          <w:rFonts w:hint="eastAsia" w:ascii="宋体" w:hAnsi="宋体"/>
          <w:b/>
          <w:bCs/>
          <w:sz w:val="24"/>
          <w:highlight w:val="none"/>
          <w:lang w:eastAsia="zh-CN"/>
        </w:rPr>
        <w:t>供应商</w:t>
      </w:r>
      <w:r>
        <w:rPr>
          <w:rFonts w:hint="eastAsia" w:ascii="宋体" w:hAnsi="宋体"/>
          <w:b/>
          <w:bCs/>
          <w:sz w:val="24"/>
          <w:highlight w:val="none"/>
        </w:rPr>
        <w:t>基本情况表</w:t>
      </w:r>
      <w:bookmarkEnd w:id="168"/>
      <w:bookmarkEnd w:id="169"/>
      <w:bookmarkEnd w:id="170"/>
      <w:bookmarkEnd w:id="171"/>
      <w:bookmarkEnd w:id="172"/>
      <w:bookmarkEnd w:id="173"/>
      <w:bookmarkEnd w:id="174"/>
      <w:bookmarkEnd w:id="175"/>
      <w:bookmarkEnd w:id="176"/>
    </w:p>
    <w:tbl>
      <w:tblPr>
        <w:tblStyle w:val="17"/>
        <w:tblW w:w="9999" w:type="dxa"/>
        <w:tblInd w:w="91" w:type="dxa"/>
        <w:tblLayout w:type="fixed"/>
        <w:tblCellMar>
          <w:top w:w="0" w:type="dxa"/>
          <w:left w:w="108" w:type="dxa"/>
          <w:bottom w:w="0" w:type="dxa"/>
          <w:right w:w="108" w:type="dxa"/>
        </w:tblCellMar>
      </w:tblPr>
      <w:tblGrid>
        <w:gridCol w:w="2008"/>
        <w:gridCol w:w="1283"/>
        <w:gridCol w:w="2291"/>
        <w:gridCol w:w="2289"/>
        <w:gridCol w:w="2128"/>
      </w:tblGrid>
      <w:tr>
        <w:tblPrEx>
          <w:tblCellMar>
            <w:top w:w="0" w:type="dxa"/>
            <w:left w:w="108" w:type="dxa"/>
            <w:bottom w:w="0" w:type="dxa"/>
            <w:right w:w="108" w:type="dxa"/>
          </w:tblCellMar>
        </w:tblPrEx>
        <w:trPr>
          <w:trHeight w:val="779" w:hRule="atLeast"/>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eastAsia="zh-CN"/>
              </w:rPr>
              <w:t>供应商</w:t>
            </w:r>
            <w:r>
              <w:rPr>
                <w:rFonts w:hint="eastAsia" w:ascii="宋体" w:hAnsi="宋体" w:cs="宋体"/>
                <w:color w:val="000000"/>
                <w:kern w:val="0"/>
                <w:sz w:val="22"/>
                <w:szCs w:val="22"/>
                <w:highlight w:val="none"/>
              </w:rPr>
              <w:t xml:space="preserve">名称 </w:t>
            </w:r>
          </w:p>
        </w:tc>
        <w:tc>
          <w:tcPr>
            <w:tcW w:w="799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注册地址：</w:t>
            </w:r>
          </w:p>
        </w:tc>
        <w:tc>
          <w:tcPr>
            <w:tcW w:w="35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228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邮政编码</w:t>
            </w:r>
          </w:p>
        </w:tc>
        <w:tc>
          <w:tcPr>
            <w:tcW w:w="21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联系方式</w:t>
            </w:r>
          </w:p>
        </w:tc>
        <w:tc>
          <w:tcPr>
            <w:tcW w:w="12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联系人</w:t>
            </w:r>
          </w:p>
        </w:tc>
        <w:tc>
          <w:tcPr>
            <w:tcW w:w="2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228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电话</w:t>
            </w:r>
          </w:p>
        </w:tc>
        <w:tc>
          <w:tcPr>
            <w:tcW w:w="21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highlight w:val="none"/>
              </w:rPr>
            </w:pPr>
          </w:p>
        </w:tc>
        <w:tc>
          <w:tcPr>
            <w:tcW w:w="12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传真</w:t>
            </w:r>
          </w:p>
        </w:tc>
        <w:tc>
          <w:tcPr>
            <w:tcW w:w="2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228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网址</w:t>
            </w:r>
          </w:p>
        </w:tc>
        <w:tc>
          <w:tcPr>
            <w:tcW w:w="21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法定代表人</w:t>
            </w:r>
          </w:p>
        </w:tc>
        <w:tc>
          <w:tcPr>
            <w:tcW w:w="12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姓名</w:t>
            </w:r>
          </w:p>
        </w:tc>
        <w:tc>
          <w:tcPr>
            <w:tcW w:w="22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228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电话</w:t>
            </w:r>
          </w:p>
        </w:tc>
        <w:tc>
          <w:tcPr>
            <w:tcW w:w="21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855"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成立时间</w:t>
            </w:r>
          </w:p>
        </w:tc>
        <w:tc>
          <w:tcPr>
            <w:tcW w:w="357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228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员工总人数</w:t>
            </w:r>
          </w:p>
        </w:tc>
        <w:tc>
          <w:tcPr>
            <w:tcW w:w="212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营业执照号</w:t>
            </w:r>
          </w:p>
        </w:tc>
        <w:tc>
          <w:tcPr>
            <w:tcW w:w="799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注册资金</w:t>
            </w:r>
          </w:p>
        </w:tc>
        <w:tc>
          <w:tcPr>
            <w:tcW w:w="799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开户银行</w:t>
            </w:r>
          </w:p>
        </w:tc>
        <w:tc>
          <w:tcPr>
            <w:tcW w:w="799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77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账号</w:t>
            </w:r>
          </w:p>
        </w:tc>
        <w:tc>
          <w:tcPr>
            <w:tcW w:w="799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2329" w:hRule="atLeast"/>
        </w:trPr>
        <w:tc>
          <w:tcPr>
            <w:tcW w:w="20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经营范围备注</w:t>
            </w:r>
          </w:p>
        </w:tc>
        <w:tc>
          <w:tcPr>
            <w:tcW w:w="799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bl>
    <w:p>
      <w:pPr>
        <w:bidi w:val="0"/>
        <w:rPr>
          <w:rFonts w:hint="eastAsia"/>
          <w:highlight w:val="none"/>
        </w:rPr>
      </w:pPr>
    </w:p>
    <w:p>
      <w:pPr>
        <w:bidi w:val="0"/>
        <w:rPr>
          <w:rFonts w:hint="eastAsia"/>
          <w:highlight w:val="none"/>
        </w:rPr>
      </w:pPr>
    </w:p>
    <w:p>
      <w:pPr>
        <w:bidi w:val="0"/>
        <w:rPr>
          <w:rFonts w:hint="eastAsia" w:ascii="宋体" w:hAnsi="宋体"/>
          <w:b/>
          <w:bCs/>
          <w:szCs w:val="21"/>
          <w:highlight w:val="none"/>
        </w:rPr>
      </w:pPr>
    </w:p>
    <w:p>
      <w:pPr>
        <w:bidi w:val="0"/>
        <w:rPr>
          <w:rFonts w:hint="eastAsia" w:ascii="宋体" w:hAnsi="宋体"/>
          <w:b/>
          <w:bCs/>
          <w:szCs w:val="21"/>
          <w:highlight w:val="none"/>
        </w:rPr>
      </w:pPr>
    </w:p>
    <w:p>
      <w:pPr>
        <w:bidi w:val="0"/>
        <w:rPr>
          <w:rFonts w:hint="eastAsia" w:ascii="宋体" w:hAnsi="宋体"/>
          <w:b/>
          <w:bCs/>
          <w:szCs w:val="21"/>
          <w:highlight w:val="none"/>
        </w:rPr>
      </w:pPr>
    </w:p>
    <w:p>
      <w:pPr>
        <w:bidi w:val="0"/>
        <w:rPr>
          <w:rFonts w:hint="eastAsia" w:ascii="宋体" w:hAnsi="宋体"/>
          <w:b/>
          <w:bCs/>
          <w:szCs w:val="21"/>
          <w:highlight w:val="none"/>
        </w:rPr>
      </w:pPr>
    </w:p>
    <w:p>
      <w:pPr>
        <w:spacing w:before="156" w:beforeLines="50" w:after="312" w:afterLines="100" w:line="440" w:lineRule="exact"/>
        <w:jc w:val="center"/>
        <w:outlineLvl w:val="0"/>
        <w:rPr>
          <w:rFonts w:hint="eastAsia"/>
          <w:b/>
          <w:bCs/>
          <w:sz w:val="24"/>
          <w:highlight w:val="none"/>
        </w:rPr>
      </w:pPr>
    </w:p>
    <w:p>
      <w:pPr>
        <w:spacing w:before="156" w:beforeLines="50" w:after="312" w:afterLines="100" w:line="440" w:lineRule="exact"/>
        <w:jc w:val="center"/>
        <w:outlineLvl w:val="0"/>
        <w:rPr>
          <w:rFonts w:hint="eastAsia" w:ascii="宋体" w:hAnsi="宋体"/>
          <w:b/>
          <w:bCs/>
          <w:sz w:val="24"/>
          <w:highlight w:val="none"/>
        </w:rPr>
      </w:pPr>
      <w:r>
        <w:rPr>
          <w:rFonts w:hint="eastAsia"/>
          <w:b/>
          <w:bCs/>
          <w:sz w:val="24"/>
          <w:highlight w:val="none"/>
        </w:rPr>
        <w:t>（二）其他资格审查资料</w:t>
      </w:r>
    </w:p>
    <w:p>
      <w:pPr>
        <w:spacing w:line="360" w:lineRule="auto"/>
        <w:ind w:firstLine="880" w:firstLineChars="400"/>
        <w:rPr>
          <w:sz w:val="24"/>
          <w:highlight w:val="none"/>
        </w:rPr>
      </w:pPr>
      <w:r>
        <w:rPr>
          <w:rFonts w:hint="eastAsia" w:ascii="宋体" w:hAnsi="宋体"/>
          <w:szCs w:val="21"/>
          <w:highlight w:val="none"/>
        </w:rPr>
        <w:t>(应附</w:t>
      </w:r>
      <w:r>
        <w:rPr>
          <w:rFonts w:hint="eastAsia" w:ascii="宋体" w:hAnsi="宋体" w:cs="宋体"/>
          <w:kern w:val="0"/>
          <w:szCs w:val="21"/>
          <w:highlight w:val="none"/>
        </w:rPr>
        <w:t>招标公告“</w:t>
      </w:r>
      <w:r>
        <w:rPr>
          <w:rFonts w:hint="eastAsia" w:ascii="宋体" w:hAnsi="宋体" w:eastAsia="宋体" w:cs="宋体"/>
          <w:kern w:val="0"/>
          <w:szCs w:val="21"/>
          <w:highlight w:val="none"/>
          <w:lang w:eastAsia="zh-CN"/>
        </w:rPr>
        <w:t>二</w:t>
      </w:r>
      <w:r>
        <w:rPr>
          <w:rFonts w:hint="eastAsia" w:ascii="宋体" w:hAnsi="宋体" w:cs="宋体"/>
          <w:kern w:val="0"/>
          <w:szCs w:val="21"/>
          <w:highlight w:val="none"/>
        </w:rPr>
        <w:t>、</w:t>
      </w:r>
      <w:r>
        <w:rPr>
          <w:rFonts w:hint="eastAsia" w:ascii="宋体" w:hAnsi="宋体" w:cs="宋体"/>
          <w:kern w:val="0"/>
          <w:szCs w:val="21"/>
          <w:highlight w:val="none"/>
          <w:lang w:eastAsia="zh-CN"/>
        </w:rPr>
        <w:t>申请人的</w:t>
      </w:r>
      <w:r>
        <w:rPr>
          <w:rFonts w:hint="eastAsia" w:ascii="宋体" w:hAnsi="宋体" w:cs="宋体"/>
          <w:kern w:val="0"/>
          <w:szCs w:val="21"/>
          <w:highlight w:val="none"/>
        </w:rPr>
        <w:t>资格要求”要求的所有资格证明材料</w:t>
      </w:r>
      <w:r>
        <w:rPr>
          <w:rFonts w:hint="eastAsia" w:ascii="宋体" w:hAnsi="宋体"/>
          <w:szCs w:val="21"/>
          <w:highlight w:val="none"/>
        </w:rPr>
        <w:t>加盖单位公章)</w:t>
      </w: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rPr>
          <w:rFonts w:hint="eastAsia" w:ascii="宋体" w:hAnsi="宋体"/>
          <w:b/>
          <w:sz w:val="36"/>
          <w:szCs w:val="36"/>
          <w:highlight w:val="none"/>
        </w:rPr>
      </w:pPr>
    </w:p>
    <w:p>
      <w:pPr>
        <w:spacing w:line="360" w:lineRule="auto"/>
        <w:rPr>
          <w:rFonts w:hint="eastAsia" w:ascii="宋体" w:hAnsi="宋体"/>
          <w:b/>
          <w:sz w:val="36"/>
          <w:szCs w:val="36"/>
          <w:highlight w:val="none"/>
        </w:rPr>
      </w:pPr>
    </w:p>
    <w:p>
      <w:pPr>
        <w:spacing w:before="156" w:beforeLines="50" w:after="312" w:afterLines="100" w:line="440" w:lineRule="exact"/>
        <w:jc w:val="center"/>
        <w:outlineLvl w:val="0"/>
        <w:rPr>
          <w:rFonts w:hint="eastAsia" w:ascii="Times New Roman" w:hAnsi="Times New Roman" w:eastAsia="宋体" w:cs="Times New Roman"/>
          <w:b/>
          <w:bCs/>
          <w:sz w:val="24"/>
          <w:highlight w:val="none"/>
        </w:rPr>
      </w:pPr>
      <w:r>
        <w:rPr>
          <w:rFonts w:hint="eastAsia" w:ascii="Times New Roman" w:hAnsi="Times New Roman" w:eastAsia="宋体" w:cs="Times New Roman"/>
          <w:b/>
          <w:bCs/>
          <w:sz w:val="24"/>
          <w:highlight w:val="none"/>
        </w:rPr>
        <w:t>（三）类似项目业绩情况表</w:t>
      </w:r>
    </w:p>
    <w:p>
      <w:pPr>
        <w:spacing w:line="360" w:lineRule="auto"/>
        <w:jc w:val="left"/>
        <w:rPr>
          <w:rFonts w:hint="eastAsia" w:ascii="宋体" w:hAnsi="宋体"/>
          <w:szCs w:val="21"/>
          <w:highlight w:val="none"/>
        </w:rPr>
      </w:pPr>
    </w:p>
    <w:p>
      <w:pPr>
        <w:spacing w:line="360" w:lineRule="auto"/>
        <w:jc w:val="center"/>
        <w:rPr>
          <w:highlight w:val="none"/>
        </w:rPr>
      </w:pPr>
      <w:r>
        <w:rPr>
          <w:rFonts w:hint="eastAsia"/>
          <w:szCs w:val="21"/>
          <w:highlight w:val="none"/>
        </w:rPr>
        <w:t>（</w:t>
      </w:r>
      <w:r>
        <w:rPr>
          <w:rFonts w:hint="eastAsia" w:eastAsia="宋体"/>
          <w:szCs w:val="21"/>
          <w:highlight w:val="none"/>
          <w:lang w:eastAsia="zh-CN"/>
        </w:rPr>
        <w:t>表格</w:t>
      </w:r>
      <w:r>
        <w:rPr>
          <w:rFonts w:hint="eastAsia"/>
          <w:szCs w:val="21"/>
          <w:highlight w:val="none"/>
        </w:rPr>
        <w:t>格式自拟，如无业绩填无，如有附类似业绩要求的相关证明材料，每个业绩标明序号及项目名称</w:t>
      </w:r>
      <w:r>
        <w:rPr>
          <w:rFonts w:hint="eastAsia" w:eastAsia="宋体"/>
          <w:szCs w:val="21"/>
          <w:highlight w:val="none"/>
          <w:lang w:eastAsia="zh-CN"/>
        </w:rPr>
        <w:t>、金额</w:t>
      </w:r>
      <w:r>
        <w:rPr>
          <w:rFonts w:hint="eastAsia"/>
          <w:szCs w:val="21"/>
          <w:highlight w:val="none"/>
        </w:rPr>
        <w:t>，复印件加盖投标单位公章。</w:t>
      </w: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pStyle w:val="2"/>
        <w:rPr>
          <w:rFonts w:hint="eastAsia" w:ascii="宋体" w:hAnsi="宋体"/>
          <w:b/>
          <w:sz w:val="36"/>
          <w:szCs w:val="36"/>
          <w:highlight w:val="none"/>
        </w:rPr>
      </w:pPr>
    </w:p>
    <w:p>
      <w:pPr>
        <w:rPr>
          <w:rFonts w:hint="eastAsia"/>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bidi w:val="0"/>
        <w:rPr>
          <w:rFonts w:hint="eastAsia"/>
          <w:highlight w:val="none"/>
        </w:rPr>
      </w:pPr>
    </w:p>
    <w:p>
      <w:pPr>
        <w:pStyle w:val="2"/>
        <w:numPr>
          <w:ilvl w:val="0"/>
          <w:numId w:val="0"/>
        </w:numPr>
        <w:bidi w:val="0"/>
        <w:ind w:leftChars="0"/>
        <w:jc w:val="center"/>
        <w:rPr>
          <w:rFonts w:hint="eastAsia" w:ascii="宋体" w:hAnsi="宋体" w:eastAsia="宋体" w:cs="宋体"/>
          <w:b/>
          <w:bCs/>
          <w:highlight w:val="none"/>
        </w:rPr>
      </w:pPr>
      <w:r>
        <w:rPr>
          <w:rFonts w:hint="eastAsia" w:ascii="宋体" w:hAnsi="宋体" w:eastAsia="宋体" w:cs="宋体"/>
          <w:b/>
          <w:bCs/>
          <w:highlight w:val="none"/>
        </w:rPr>
        <w:t>六、项目实施方案</w:t>
      </w: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Cs w:val="21"/>
          <w:highlight w:val="none"/>
        </w:rPr>
      </w:pPr>
    </w:p>
    <w:p>
      <w:pPr>
        <w:spacing w:line="360" w:lineRule="auto"/>
        <w:jc w:val="center"/>
        <w:rPr>
          <w:rFonts w:hint="eastAsia" w:ascii="宋体" w:hAnsi="宋体"/>
          <w:b/>
          <w:szCs w:val="21"/>
          <w:highlight w:val="none"/>
        </w:rPr>
      </w:pPr>
    </w:p>
    <w:p>
      <w:pPr>
        <w:spacing w:line="360" w:lineRule="auto"/>
        <w:jc w:val="center"/>
        <w:rPr>
          <w:rFonts w:hint="eastAsia" w:ascii="宋体" w:hAnsi="宋体"/>
          <w:b/>
          <w:szCs w:val="21"/>
          <w:highlight w:val="none"/>
        </w:rPr>
      </w:pPr>
    </w:p>
    <w:p>
      <w:pPr>
        <w:spacing w:line="360" w:lineRule="auto"/>
        <w:jc w:val="center"/>
        <w:rPr>
          <w:rFonts w:hint="eastAsia" w:ascii="宋体" w:hAnsi="宋体"/>
          <w:b/>
          <w:szCs w:val="21"/>
          <w:highlight w:val="none"/>
        </w:rPr>
      </w:pPr>
    </w:p>
    <w:p>
      <w:pPr>
        <w:spacing w:line="360" w:lineRule="auto"/>
        <w:jc w:val="center"/>
        <w:rPr>
          <w:rFonts w:hint="eastAsia" w:ascii="宋体" w:hAnsi="宋体"/>
          <w:szCs w:val="21"/>
          <w:highlight w:val="none"/>
        </w:rPr>
      </w:pPr>
    </w:p>
    <w:p>
      <w:pPr>
        <w:spacing w:line="360" w:lineRule="auto"/>
        <w:jc w:val="center"/>
        <w:rPr>
          <w:rFonts w:hint="eastAsia" w:ascii="宋体" w:hAnsi="宋体"/>
          <w:szCs w:val="21"/>
          <w:highlight w:val="none"/>
        </w:rPr>
      </w:pPr>
    </w:p>
    <w:p>
      <w:pPr>
        <w:spacing w:line="360" w:lineRule="auto"/>
        <w:jc w:val="center"/>
        <w:rPr>
          <w:rFonts w:hint="eastAsia" w:ascii="宋体" w:hAnsi="宋体"/>
          <w:szCs w:val="21"/>
          <w:highlight w:val="none"/>
        </w:rPr>
      </w:pPr>
    </w:p>
    <w:p>
      <w:pPr>
        <w:spacing w:line="360" w:lineRule="auto"/>
        <w:jc w:val="center"/>
        <w:rPr>
          <w:rFonts w:hint="eastAsia" w:ascii="宋体" w:hAnsi="宋体"/>
          <w:szCs w:val="21"/>
          <w:highlight w:val="none"/>
        </w:rPr>
      </w:pPr>
    </w:p>
    <w:p>
      <w:pPr>
        <w:spacing w:line="360" w:lineRule="auto"/>
        <w:jc w:val="center"/>
        <w:rPr>
          <w:rFonts w:hint="eastAsia" w:ascii="宋体" w:hAnsi="宋体"/>
          <w:szCs w:val="21"/>
          <w:highlight w:val="none"/>
        </w:rPr>
      </w:pPr>
    </w:p>
    <w:p>
      <w:pPr>
        <w:spacing w:line="360" w:lineRule="auto"/>
        <w:jc w:val="center"/>
        <w:rPr>
          <w:rFonts w:hint="eastAsia" w:ascii="宋体" w:hAnsi="宋体"/>
          <w:szCs w:val="21"/>
          <w:highlight w:val="none"/>
        </w:rPr>
      </w:pPr>
    </w:p>
    <w:p>
      <w:pPr>
        <w:pStyle w:val="24"/>
        <w:rPr>
          <w:rFonts w:hint="eastAsia"/>
          <w:highlight w:val="none"/>
        </w:rPr>
      </w:pPr>
    </w:p>
    <w:p>
      <w:pPr>
        <w:pStyle w:val="6"/>
        <w:rPr>
          <w:rFonts w:hint="eastAsia"/>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spacing w:line="360" w:lineRule="auto"/>
        <w:jc w:val="center"/>
        <w:rPr>
          <w:rFonts w:hint="eastAsia" w:ascii="宋体" w:hAnsi="宋体"/>
          <w:b/>
          <w:sz w:val="36"/>
          <w:szCs w:val="36"/>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pStyle w:val="2"/>
        <w:bidi w:val="0"/>
        <w:jc w:val="center"/>
        <w:rPr>
          <w:rFonts w:hint="eastAsia" w:ascii="宋体" w:hAnsi="宋体" w:eastAsia="宋体" w:cs="宋体"/>
          <w:b/>
          <w:bCs/>
          <w:highlight w:val="none"/>
        </w:rPr>
      </w:pPr>
      <w:r>
        <w:rPr>
          <w:rFonts w:hint="eastAsia" w:ascii="宋体" w:hAnsi="宋体" w:eastAsia="宋体" w:cs="宋体"/>
          <w:b/>
          <w:bCs/>
          <w:highlight w:val="none"/>
        </w:rPr>
        <w:t>七、服务方案及承诺</w:t>
      </w:r>
    </w:p>
    <w:p>
      <w:pPr>
        <w:spacing w:line="360" w:lineRule="auto"/>
        <w:jc w:val="center"/>
        <w:rPr>
          <w:b/>
          <w:sz w:val="36"/>
          <w:szCs w:val="36"/>
          <w:highlight w:val="none"/>
        </w:rPr>
      </w:pPr>
    </w:p>
    <w:p>
      <w:pPr>
        <w:rPr>
          <w:highlight w:val="none"/>
        </w:rPr>
      </w:pPr>
    </w:p>
    <w:p>
      <w:pPr>
        <w:rPr>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bidi w:val="0"/>
        <w:rPr>
          <w:rFonts w:hint="eastAsia"/>
          <w:highlight w:val="none"/>
        </w:rPr>
      </w:pPr>
    </w:p>
    <w:p>
      <w:pPr>
        <w:rPr>
          <w:rFonts w:hint="eastAsia"/>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wordWrap w:val="0"/>
        <w:spacing w:line="440" w:lineRule="exact"/>
        <w:ind w:firstLine="3300" w:firstLineChars="1500"/>
        <w:rPr>
          <w:rFonts w:hint="eastAsia" w:ascii="宋体" w:hAnsi="宋体" w:cs="宋体"/>
          <w:szCs w:val="21"/>
          <w:highlight w:val="none"/>
        </w:rPr>
      </w:pPr>
      <w:r>
        <w:rPr>
          <w:rFonts w:hint="eastAsia" w:ascii="宋体" w:hAnsi="宋体" w:cs="宋体"/>
          <w:bCs/>
          <w:szCs w:val="21"/>
          <w:highlight w:val="none"/>
          <w:lang w:eastAsia="zh-CN"/>
        </w:rPr>
        <w:t>供应商</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wordWrap w:val="0"/>
        <w:spacing w:line="440" w:lineRule="exact"/>
        <w:ind w:firstLine="3300" w:firstLineChars="1500"/>
        <w:rPr>
          <w:rFonts w:hint="eastAsia" w:ascii="宋体" w:hAnsi="宋体" w:cs="宋体"/>
          <w:szCs w:val="21"/>
          <w:highlight w:val="none"/>
          <w:u w:val="singl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（签字或盖章） </w:t>
      </w:r>
    </w:p>
    <w:p>
      <w:pPr>
        <w:wordWrap w:val="0"/>
        <w:spacing w:line="440" w:lineRule="exact"/>
        <w:ind w:firstLine="3300" w:firstLineChars="1500"/>
        <w:rPr>
          <w:rFonts w:hint="eastAsia" w:ascii="宋体" w:hAnsi="宋体" w:cs="宋体"/>
          <w:szCs w:val="21"/>
          <w:highlight w:val="none"/>
        </w:rPr>
      </w:pPr>
      <w:r>
        <w:rPr>
          <w:rFonts w:hint="eastAsia" w:ascii="宋体" w:hAnsi="宋体" w:cs="宋体"/>
          <w:szCs w:val="21"/>
          <w:highlight w:val="none"/>
        </w:rPr>
        <w:t>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spacing w:line="360" w:lineRule="auto"/>
        <w:jc w:val="center"/>
        <w:rPr>
          <w:rFonts w:hint="eastAsia"/>
          <w:b/>
          <w:sz w:val="36"/>
          <w:szCs w:val="36"/>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pStyle w:val="2"/>
        <w:bidi w:val="0"/>
        <w:jc w:val="center"/>
        <w:rPr>
          <w:rFonts w:hint="eastAsia" w:ascii="宋体" w:hAnsi="宋体" w:eastAsia="宋体" w:cs="宋体"/>
          <w:b/>
          <w:bCs/>
          <w:highlight w:val="none"/>
        </w:rPr>
      </w:pPr>
      <w:r>
        <w:rPr>
          <w:rFonts w:hint="eastAsia" w:ascii="宋体" w:hAnsi="宋体" w:eastAsia="宋体" w:cs="宋体"/>
          <w:b/>
          <w:bCs/>
          <w:highlight w:val="none"/>
        </w:rPr>
        <w:t>八、技术参数审查表</w:t>
      </w:r>
    </w:p>
    <w:p>
      <w:pPr>
        <w:spacing w:line="360" w:lineRule="auto"/>
        <w:rPr>
          <w:rFonts w:hint="eastAsia"/>
          <w:b/>
          <w:sz w:val="36"/>
          <w:szCs w:val="36"/>
          <w:highlight w:val="none"/>
        </w:rPr>
      </w:pPr>
    </w:p>
    <w:p>
      <w:pPr>
        <w:spacing w:line="360" w:lineRule="auto"/>
        <w:rPr>
          <w:rFonts w:hint="eastAsia" w:ascii="宋体" w:hAnsi="宋体"/>
          <w:highlight w:val="none"/>
        </w:rPr>
      </w:pPr>
    </w:p>
    <w:p>
      <w:pPr>
        <w:spacing w:line="360" w:lineRule="auto"/>
        <w:rPr>
          <w:rFonts w:hint="default" w:ascii="宋体" w:hAnsi="宋体" w:eastAsia="宋体"/>
          <w:highlight w:val="none"/>
          <w:lang w:val="en-US" w:eastAsia="zh-CN"/>
        </w:rPr>
      </w:pPr>
      <w:r>
        <w:rPr>
          <w:rFonts w:hint="eastAsia" w:ascii="宋体" w:hAnsi="宋体"/>
          <w:highlight w:val="none"/>
        </w:rPr>
        <w:t>说明：</w:t>
      </w:r>
      <w:r>
        <w:rPr>
          <w:rFonts w:hint="eastAsia" w:ascii="宋体" w:hAnsi="宋体" w:eastAsia="宋体"/>
          <w:highlight w:val="none"/>
          <w:lang w:eastAsia="zh-CN"/>
        </w:rPr>
        <w:t>此项</w:t>
      </w:r>
      <w:r>
        <w:rPr>
          <w:rFonts w:ascii="宋体" w:hAnsi="宋体" w:eastAsia="宋体"/>
          <w:highlight w:val="none"/>
          <w:lang w:eastAsia="zh-CN"/>
        </w:rPr>
        <w:t>应对</w:t>
      </w:r>
      <w:r>
        <w:rPr>
          <w:rFonts w:hint="eastAsia"/>
          <w:sz w:val="21"/>
          <w:szCs w:val="21"/>
          <w:highlight w:val="none"/>
          <w:lang w:eastAsia="zh-CN"/>
        </w:rPr>
        <w:t>招标文件</w:t>
      </w:r>
      <w:r>
        <w:rPr>
          <w:b/>
          <w:sz w:val="21"/>
          <w:szCs w:val="21"/>
          <w:highlight w:val="none"/>
          <w:lang w:eastAsia="zh-CN"/>
        </w:rPr>
        <w:t>第</w:t>
      </w:r>
      <w:r>
        <w:rPr>
          <w:rFonts w:hint="eastAsia"/>
          <w:b/>
          <w:sz w:val="21"/>
          <w:szCs w:val="21"/>
          <w:highlight w:val="none"/>
          <w:lang w:eastAsia="zh-CN"/>
        </w:rPr>
        <w:t>五章采购清单及技术参数要求</w:t>
      </w:r>
      <w:r>
        <w:rPr>
          <w:rFonts w:hint="eastAsia"/>
          <w:b/>
          <w:sz w:val="21"/>
          <w:szCs w:val="21"/>
          <w:highlight w:val="none"/>
          <w:lang w:val="en-US" w:eastAsia="zh-CN"/>
        </w:rPr>
        <w:t xml:space="preserve"> </w:t>
      </w:r>
      <w:r>
        <w:rPr>
          <w:rFonts w:hint="eastAsia"/>
          <w:b w:val="0"/>
          <w:bCs/>
          <w:sz w:val="21"/>
          <w:szCs w:val="21"/>
          <w:highlight w:val="none"/>
          <w:lang w:eastAsia="zh-CN"/>
        </w:rPr>
        <w:t>逐项</w:t>
      </w:r>
      <w:r>
        <w:rPr>
          <w:rFonts w:ascii="宋体" w:hAnsi="宋体" w:eastAsia="宋体"/>
          <w:highlight w:val="none"/>
          <w:lang w:eastAsia="zh-CN"/>
        </w:rPr>
        <w:t>作出</w:t>
      </w:r>
      <w:r>
        <w:rPr>
          <w:rFonts w:hint="eastAsia" w:ascii="宋体" w:hAnsi="宋体" w:eastAsia="宋体"/>
          <w:highlight w:val="none"/>
          <w:lang w:eastAsia="zh-CN"/>
        </w:rPr>
        <w:t>具体</w:t>
      </w:r>
      <w:r>
        <w:rPr>
          <w:rFonts w:ascii="宋体" w:hAnsi="宋体" w:eastAsia="宋体"/>
          <w:highlight w:val="none"/>
          <w:lang w:eastAsia="zh-CN"/>
        </w:rPr>
        <w:t>响应</w:t>
      </w:r>
      <w:r>
        <w:rPr>
          <w:rFonts w:hint="eastAsia" w:ascii="宋体" w:hAnsi="宋体" w:eastAsia="宋体"/>
          <w:highlight w:val="none"/>
          <w:lang w:eastAsia="zh-CN"/>
        </w:rPr>
        <w:t>，</w:t>
      </w:r>
      <w:r>
        <w:rPr>
          <w:rFonts w:hint="eastAsia"/>
          <w:b/>
          <w:sz w:val="21"/>
          <w:szCs w:val="21"/>
          <w:highlight w:val="none"/>
          <w:lang w:eastAsia="zh-CN"/>
        </w:rPr>
        <w:t>逐条列明投标响应情况，并注明偏离情</w:t>
      </w:r>
      <w:r>
        <w:rPr>
          <w:rFonts w:hint="eastAsia"/>
          <w:b/>
          <w:bCs/>
          <w:sz w:val="21"/>
          <w:szCs w:val="21"/>
          <w:highlight w:val="none"/>
          <w:lang w:eastAsia="zh-CN"/>
        </w:rPr>
        <w:t>况</w:t>
      </w:r>
      <w:r>
        <w:rPr>
          <w:rFonts w:hint="eastAsia"/>
          <w:sz w:val="21"/>
          <w:szCs w:val="21"/>
          <w:highlight w:val="none"/>
          <w:lang w:eastAsia="zh-CN"/>
        </w:rPr>
        <w:t>。</w:t>
      </w:r>
      <w:r>
        <w:rPr>
          <w:rFonts w:hint="eastAsia"/>
          <w:b/>
          <w:sz w:val="21"/>
          <w:szCs w:val="21"/>
          <w:highlight w:val="none"/>
          <w:lang w:eastAsia="zh-CN"/>
        </w:rPr>
        <w:t>未列明具体响应条款的视为不满足要求</w:t>
      </w:r>
      <w:r>
        <w:rPr>
          <w:rFonts w:hint="eastAsia"/>
          <w:sz w:val="21"/>
          <w:szCs w:val="21"/>
          <w:highlight w:val="none"/>
          <w:lang w:eastAsia="zh-CN"/>
        </w:rPr>
        <w:t>。</w:t>
      </w:r>
    </w:p>
    <w:p>
      <w:pPr>
        <w:spacing w:line="360" w:lineRule="auto"/>
        <w:rPr>
          <w:rFonts w:hint="eastAsia" w:ascii="宋体" w:hAnsi="宋体"/>
          <w:highlight w:val="none"/>
        </w:rPr>
      </w:pPr>
    </w:p>
    <w:p>
      <w:pPr>
        <w:pStyle w:val="2"/>
        <w:rPr>
          <w:rFonts w:hint="eastAsia" w:ascii="宋体" w:hAnsi="宋体"/>
          <w:highlight w:val="none"/>
        </w:rPr>
      </w:pPr>
    </w:p>
    <w:p>
      <w:pPr>
        <w:rPr>
          <w:rFonts w:hint="eastAsia" w:ascii="宋体" w:hAnsi="宋体"/>
          <w:highlight w:val="none"/>
        </w:rPr>
      </w:pPr>
    </w:p>
    <w:p>
      <w:pPr>
        <w:pStyle w:val="2"/>
        <w:rPr>
          <w:rFonts w:hint="eastAsia"/>
          <w:highlight w:val="none"/>
        </w:rPr>
      </w:pPr>
    </w:p>
    <w:p>
      <w:pPr>
        <w:spacing w:line="360" w:lineRule="auto"/>
        <w:rPr>
          <w:rFonts w:hint="eastAsia" w:ascii="宋体" w:hAnsi="宋体"/>
          <w:highlight w:val="none"/>
        </w:rPr>
      </w:pPr>
    </w:p>
    <w:tbl>
      <w:tblPr>
        <w:tblStyle w:val="17"/>
        <w:tblpPr w:leftFromText="180" w:rightFromText="180" w:horzAnchor="margin" w:tblpY="1092"/>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231"/>
        <w:gridCol w:w="2181"/>
        <w:gridCol w:w="2483"/>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014" w:type="dxa"/>
            <w:noWrap w:val="0"/>
            <w:vAlign w:val="center"/>
          </w:tcPr>
          <w:p>
            <w:pPr>
              <w:spacing w:line="360" w:lineRule="auto"/>
              <w:ind w:left="-141"/>
              <w:jc w:val="center"/>
              <w:rPr>
                <w:rFonts w:hint="eastAsia" w:ascii="宋体" w:hAnsi="宋体"/>
                <w:b/>
                <w:szCs w:val="21"/>
                <w:highlight w:val="none"/>
              </w:rPr>
            </w:pPr>
            <w:r>
              <w:rPr>
                <w:rFonts w:hint="eastAsia" w:ascii="宋体" w:hAnsi="宋体"/>
                <w:b/>
                <w:szCs w:val="21"/>
                <w:highlight w:val="none"/>
              </w:rPr>
              <w:t>序号</w:t>
            </w:r>
          </w:p>
        </w:tc>
        <w:tc>
          <w:tcPr>
            <w:tcW w:w="2231" w:type="dxa"/>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名称</w:t>
            </w:r>
          </w:p>
        </w:tc>
        <w:tc>
          <w:tcPr>
            <w:tcW w:w="2181" w:type="dxa"/>
            <w:noWrap w:val="0"/>
            <w:vAlign w:val="center"/>
          </w:tcPr>
          <w:p>
            <w:pPr>
              <w:spacing w:line="360" w:lineRule="auto"/>
              <w:jc w:val="center"/>
              <w:rPr>
                <w:rFonts w:hint="eastAsia" w:ascii="宋体" w:hAnsi="宋体"/>
                <w:b/>
                <w:szCs w:val="21"/>
                <w:highlight w:val="none"/>
              </w:rPr>
            </w:pPr>
            <w:r>
              <w:rPr>
                <w:rFonts w:hint="eastAsia" w:ascii="宋体" w:hAnsi="宋体"/>
                <w:b/>
                <w:szCs w:val="21"/>
                <w:highlight w:val="none"/>
              </w:rPr>
              <w:t>招标文件要求</w:t>
            </w:r>
          </w:p>
        </w:tc>
        <w:tc>
          <w:tcPr>
            <w:tcW w:w="2483" w:type="dxa"/>
            <w:noWrap w:val="0"/>
            <w:vAlign w:val="center"/>
          </w:tcPr>
          <w:p>
            <w:pPr>
              <w:widowControl/>
              <w:spacing w:line="360" w:lineRule="auto"/>
              <w:jc w:val="center"/>
              <w:rPr>
                <w:rFonts w:ascii="宋体" w:hAnsi="宋体"/>
                <w:b/>
                <w:szCs w:val="21"/>
                <w:highlight w:val="none"/>
              </w:rPr>
            </w:pPr>
            <w:r>
              <w:rPr>
                <w:rFonts w:hint="eastAsia" w:ascii="宋体" w:hAnsi="宋体"/>
                <w:b/>
                <w:szCs w:val="21"/>
                <w:highlight w:val="none"/>
              </w:rPr>
              <w:t>投标文件规格</w:t>
            </w:r>
          </w:p>
        </w:tc>
        <w:tc>
          <w:tcPr>
            <w:tcW w:w="2028" w:type="dxa"/>
            <w:noWrap w:val="0"/>
            <w:vAlign w:val="center"/>
          </w:tcPr>
          <w:p>
            <w:pPr>
              <w:widowControl/>
              <w:spacing w:line="360" w:lineRule="auto"/>
              <w:jc w:val="center"/>
              <w:rPr>
                <w:rFonts w:ascii="宋体" w:hAnsi="宋体"/>
                <w:b/>
                <w:szCs w:val="21"/>
                <w:highlight w:val="none"/>
              </w:rPr>
            </w:pPr>
            <w:r>
              <w:rPr>
                <w:rFonts w:hint="eastAsia" w:ascii="宋体" w:hAnsi="宋体"/>
                <w:b/>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jc w:val="center"/>
              <w:rPr>
                <w:rFonts w:hint="eastAsia" w:ascii="宋体" w:hAnsi="宋体"/>
                <w:szCs w:val="21"/>
                <w:highlight w:val="none"/>
              </w:rPr>
            </w:pPr>
            <w:r>
              <w:rPr>
                <w:rFonts w:hint="eastAsia" w:ascii="宋体" w:hAnsi="宋体"/>
                <w:szCs w:val="21"/>
                <w:highlight w:val="none"/>
              </w:rPr>
              <w:t>1</w:t>
            </w: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jc w:val="center"/>
              <w:rPr>
                <w:rFonts w:hint="eastAsia" w:ascii="宋体" w:hAnsi="宋体"/>
                <w:szCs w:val="21"/>
                <w:highlight w:val="none"/>
              </w:rPr>
            </w:pPr>
            <w:r>
              <w:rPr>
                <w:rFonts w:hint="eastAsia" w:ascii="宋体" w:hAnsi="宋体"/>
                <w:szCs w:val="21"/>
                <w:highlight w:val="none"/>
              </w:rPr>
              <w:t>2</w:t>
            </w: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jc w:val="center"/>
              <w:rPr>
                <w:rFonts w:hint="eastAsia" w:ascii="宋体" w:hAnsi="宋体"/>
                <w:szCs w:val="21"/>
                <w:highlight w:val="none"/>
              </w:rPr>
            </w:pPr>
            <w:r>
              <w:rPr>
                <w:rFonts w:hint="eastAsia" w:ascii="宋体" w:hAnsi="宋体"/>
                <w:szCs w:val="21"/>
                <w:highlight w:val="none"/>
              </w:rPr>
              <w:t>3</w:t>
            </w: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4</w:t>
            </w: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5</w:t>
            </w: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rPr>
                <w:rFonts w:ascii="宋体" w:hAnsi="宋体"/>
                <w:szCs w:val="21"/>
                <w:highlight w:val="none"/>
              </w:rPr>
            </w:pPr>
            <w:r>
              <w:rPr>
                <w:rFonts w:hint="eastAsia"/>
                <w:szCs w:val="21"/>
                <w:highlight w:val="none"/>
              </w:rPr>
              <w:t>...</w:t>
            </w: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rPr>
                <w:rFonts w:ascii="宋体" w:hAnsi="宋体"/>
                <w:szCs w:val="21"/>
                <w:highlight w:val="none"/>
              </w:rPr>
            </w:pP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14" w:type="dxa"/>
            <w:noWrap w:val="0"/>
            <w:vAlign w:val="center"/>
          </w:tcPr>
          <w:p>
            <w:pPr>
              <w:spacing w:line="360" w:lineRule="auto"/>
              <w:rPr>
                <w:rFonts w:ascii="宋体" w:hAnsi="宋体"/>
                <w:szCs w:val="21"/>
                <w:highlight w:val="none"/>
              </w:rPr>
            </w:pPr>
          </w:p>
        </w:tc>
        <w:tc>
          <w:tcPr>
            <w:tcW w:w="2231" w:type="dxa"/>
            <w:noWrap w:val="0"/>
            <w:vAlign w:val="center"/>
          </w:tcPr>
          <w:p>
            <w:pPr>
              <w:spacing w:line="360" w:lineRule="auto"/>
              <w:jc w:val="center"/>
              <w:rPr>
                <w:rFonts w:hint="eastAsia" w:ascii="宋体" w:hAnsi="宋体"/>
                <w:szCs w:val="21"/>
                <w:highlight w:val="none"/>
              </w:rPr>
            </w:pPr>
          </w:p>
        </w:tc>
        <w:tc>
          <w:tcPr>
            <w:tcW w:w="2181" w:type="dxa"/>
            <w:noWrap w:val="0"/>
            <w:vAlign w:val="center"/>
          </w:tcPr>
          <w:p>
            <w:pPr>
              <w:spacing w:line="360" w:lineRule="auto"/>
              <w:jc w:val="center"/>
              <w:rPr>
                <w:rFonts w:hint="eastAsia" w:ascii="宋体" w:hAnsi="宋体"/>
                <w:szCs w:val="21"/>
                <w:highlight w:val="none"/>
              </w:rPr>
            </w:pPr>
          </w:p>
        </w:tc>
        <w:tc>
          <w:tcPr>
            <w:tcW w:w="2483" w:type="dxa"/>
            <w:noWrap w:val="0"/>
            <w:vAlign w:val="center"/>
          </w:tcPr>
          <w:p>
            <w:pPr>
              <w:spacing w:line="360" w:lineRule="auto"/>
              <w:jc w:val="center"/>
              <w:rPr>
                <w:rFonts w:ascii="宋体" w:hAnsi="宋体"/>
                <w:szCs w:val="21"/>
                <w:highlight w:val="none"/>
              </w:rPr>
            </w:pPr>
          </w:p>
        </w:tc>
        <w:tc>
          <w:tcPr>
            <w:tcW w:w="2028" w:type="dxa"/>
            <w:noWrap w:val="0"/>
            <w:vAlign w:val="center"/>
          </w:tcPr>
          <w:p>
            <w:pPr>
              <w:spacing w:line="360" w:lineRule="auto"/>
              <w:jc w:val="center"/>
              <w:rPr>
                <w:rFonts w:ascii="宋体" w:hAnsi="宋体"/>
                <w:szCs w:val="21"/>
                <w:highlight w:val="none"/>
              </w:rPr>
            </w:pPr>
          </w:p>
        </w:tc>
      </w:tr>
    </w:tbl>
    <w:p>
      <w:pPr>
        <w:rPr>
          <w:highlight w:val="none"/>
        </w:rPr>
      </w:pPr>
    </w:p>
    <w:p>
      <w:pPr>
        <w:wordWrap w:val="0"/>
        <w:spacing w:line="440" w:lineRule="exact"/>
        <w:ind w:firstLine="3300" w:firstLineChars="1500"/>
        <w:rPr>
          <w:szCs w:val="21"/>
          <w:highlight w:val="none"/>
        </w:rPr>
      </w:pPr>
      <w:r>
        <w:rPr>
          <w:rFonts w:hint="eastAsia"/>
          <w:bCs/>
          <w:szCs w:val="21"/>
          <w:highlight w:val="none"/>
          <w:lang w:eastAsia="zh-CN"/>
        </w:rPr>
        <w:t>供应商</w:t>
      </w:r>
      <w:r>
        <w:rPr>
          <w:rFonts w:hint="eastAsia"/>
          <w:szCs w:val="21"/>
          <w:highlight w:val="none"/>
        </w:rPr>
        <w:t>：</w:t>
      </w:r>
      <w:r>
        <w:rPr>
          <w:rFonts w:hint="eastAsia"/>
          <w:szCs w:val="21"/>
          <w:highlight w:val="none"/>
          <w:u w:val="single"/>
        </w:rPr>
        <w:t xml:space="preserve">                      </w:t>
      </w:r>
      <w:r>
        <w:rPr>
          <w:rFonts w:hint="eastAsia"/>
          <w:szCs w:val="21"/>
          <w:highlight w:val="none"/>
        </w:rPr>
        <w:t>（盖单位公章）</w:t>
      </w:r>
    </w:p>
    <w:p>
      <w:pPr>
        <w:wordWrap w:val="0"/>
        <w:spacing w:line="440" w:lineRule="exact"/>
        <w:ind w:firstLine="2860" w:firstLineChars="1300"/>
        <w:rPr>
          <w:szCs w:val="21"/>
          <w:highlight w:val="none"/>
          <w:u w:val="single"/>
        </w:rPr>
      </w:pPr>
      <w:r>
        <w:rPr>
          <w:rFonts w:hint="eastAsia"/>
          <w:szCs w:val="21"/>
          <w:highlight w:val="none"/>
        </w:rPr>
        <w:t>法定代表人或委托代理人：</w:t>
      </w:r>
      <w:r>
        <w:rPr>
          <w:rFonts w:hint="eastAsia"/>
          <w:szCs w:val="21"/>
          <w:highlight w:val="none"/>
          <w:u w:val="single"/>
        </w:rPr>
        <w:t xml:space="preserve">           </w:t>
      </w:r>
      <w:r>
        <w:rPr>
          <w:rFonts w:hint="eastAsia"/>
          <w:szCs w:val="21"/>
          <w:highlight w:val="none"/>
        </w:rPr>
        <w:t>（签字或盖章）</w:t>
      </w:r>
    </w:p>
    <w:p>
      <w:pPr>
        <w:wordWrap w:val="0"/>
        <w:spacing w:line="440" w:lineRule="exact"/>
        <w:ind w:firstLine="3300" w:firstLineChars="1500"/>
        <w:rPr>
          <w:highlight w:val="none"/>
        </w:rPr>
      </w:pPr>
      <w:r>
        <w:rPr>
          <w:rFonts w:hint="eastAsia"/>
          <w:szCs w:val="21"/>
          <w:highlight w:val="none"/>
        </w:rPr>
        <w:t>日  期：</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p>
      <w:pPr>
        <w:bidi w:val="0"/>
        <w:rPr>
          <w:rFonts w:hint="eastAsia" w:ascii="宋体" w:hAnsi="宋体" w:eastAsia="宋体" w:cs="宋体"/>
          <w:b/>
          <w:bCs/>
          <w:highlight w:val="none"/>
          <w:lang w:eastAsia="zh-CN"/>
        </w:rPr>
      </w:pPr>
    </w:p>
    <w:p>
      <w:pPr>
        <w:bidi w:val="0"/>
        <w:rPr>
          <w:rFonts w:hint="eastAsia" w:ascii="宋体" w:hAnsi="宋体" w:eastAsia="宋体" w:cs="宋体"/>
          <w:b/>
          <w:bCs/>
          <w:highlight w:val="none"/>
          <w:lang w:eastAsia="zh-CN"/>
        </w:rPr>
      </w:pPr>
    </w:p>
    <w:p>
      <w:pPr>
        <w:bidi w:val="0"/>
        <w:rPr>
          <w:rFonts w:hint="eastAsia" w:ascii="宋体" w:hAnsi="宋体" w:eastAsia="宋体" w:cs="宋体"/>
          <w:b/>
          <w:bCs/>
          <w:highlight w:val="none"/>
          <w:lang w:eastAsia="zh-CN"/>
        </w:rPr>
      </w:pPr>
    </w:p>
    <w:p>
      <w:pPr>
        <w:bidi w:val="0"/>
        <w:rPr>
          <w:rFonts w:hint="eastAsia" w:ascii="宋体" w:hAnsi="宋体" w:eastAsia="宋体" w:cs="宋体"/>
          <w:b/>
          <w:bCs/>
          <w:highlight w:val="none"/>
          <w:lang w:eastAsia="zh-CN"/>
        </w:rPr>
      </w:pPr>
    </w:p>
    <w:p>
      <w:pPr>
        <w:bidi w:val="0"/>
        <w:rPr>
          <w:rFonts w:hint="eastAsia" w:ascii="宋体" w:hAnsi="宋体" w:eastAsia="宋体" w:cs="宋体"/>
          <w:b/>
          <w:bCs/>
          <w:highlight w:val="none"/>
          <w:lang w:eastAsia="zh-CN"/>
        </w:rPr>
      </w:pPr>
    </w:p>
    <w:p>
      <w:pPr>
        <w:bidi w:val="0"/>
        <w:rPr>
          <w:rFonts w:hint="eastAsia" w:ascii="宋体" w:hAnsi="宋体" w:eastAsia="宋体" w:cs="宋体"/>
          <w:b/>
          <w:bCs/>
          <w:highlight w:val="none"/>
          <w:lang w:eastAsia="zh-CN"/>
        </w:rPr>
      </w:pPr>
    </w:p>
    <w:p>
      <w:pPr>
        <w:pStyle w:val="2"/>
        <w:bidi w:val="0"/>
        <w:jc w:val="center"/>
        <w:rPr>
          <w:rFonts w:hint="eastAsia" w:ascii="宋体" w:hAnsi="宋体" w:eastAsia="宋体" w:cs="宋体"/>
          <w:b/>
          <w:bCs/>
          <w:highlight w:val="none"/>
        </w:rPr>
      </w:pPr>
      <w:r>
        <w:rPr>
          <w:rFonts w:hint="eastAsia" w:ascii="宋体" w:hAnsi="宋体" w:eastAsia="宋体" w:cs="宋体"/>
          <w:b/>
          <w:bCs/>
          <w:highlight w:val="none"/>
          <w:lang w:eastAsia="zh-CN"/>
        </w:rPr>
        <w:t>九、</w:t>
      </w:r>
      <w:r>
        <w:rPr>
          <w:rFonts w:hint="eastAsia" w:ascii="宋体" w:hAnsi="宋体" w:eastAsia="宋体" w:cs="宋体"/>
          <w:b/>
          <w:bCs/>
          <w:highlight w:val="none"/>
        </w:rPr>
        <w:t>反商业贿赂承诺书</w:t>
      </w:r>
    </w:p>
    <w:p>
      <w:pPr>
        <w:spacing w:line="360" w:lineRule="auto"/>
        <w:rPr>
          <w:szCs w:val="21"/>
          <w:highlight w:val="none"/>
        </w:rPr>
      </w:pPr>
      <w:r>
        <w:rPr>
          <w:rFonts w:hint="eastAsia"/>
          <w:szCs w:val="21"/>
          <w:highlight w:val="none"/>
        </w:rPr>
        <w:t>我公司承诺：</w:t>
      </w:r>
    </w:p>
    <w:p>
      <w:pPr>
        <w:spacing w:line="360" w:lineRule="auto"/>
        <w:rPr>
          <w:szCs w:val="21"/>
          <w:highlight w:val="none"/>
        </w:rPr>
      </w:pPr>
      <w:r>
        <w:rPr>
          <w:rFonts w:hint="eastAsia"/>
          <w:szCs w:val="21"/>
          <w:highlight w:val="none"/>
        </w:rPr>
        <w:t xml:space="preserve">      在</w:t>
      </w:r>
      <w:r>
        <w:rPr>
          <w:rFonts w:hint="eastAsia"/>
          <w:szCs w:val="21"/>
          <w:highlight w:val="none"/>
          <w:u w:val="single"/>
        </w:rPr>
        <w:t xml:space="preserve">                   （项目名称）</w:t>
      </w:r>
      <w:r>
        <w:rPr>
          <w:rFonts w:hint="eastAsia"/>
          <w:szCs w:val="21"/>
          <w:highlight w:val="none"/>
        </w:rPr>
        <w:t>招标活动中，我公司保证做到：</w:t>
      </w:r>
    </w:p>
    <w:p>
      <w:pPr>
        <w:numPr>
          <w:ilvl w:val="0"/>
          <w:numId w:val="14"/>
        </w:numPr>
        <w:spacing w:line="360" w:lineRule="auto"/>
        <w:rPr>
          <w:szCs w:val="21"/>
          <w:highlight w:val="none"/>
        </w:rPr>
      </w:pPr>
      <w:r>
        <w:rPr>
          <w:rFonts w:hint="eastAsia"/>
          <w:szCs w:val="21"/>
          <w:highlight w:val="none"/>
        </w:rPr>
        <w:t>公平竞争参加本次招标活动。</w:t>
      </w:r>
    </w:p>
    <w:p>
      <w:pPr>
        <w:numPr>
          <w:ilvl w:val="0"/>
          <w:numId w:val="14"/>
        </w:numPr>
        <w:spacing w:line="360" w:lineRule="auto"/>
        <w:rPr>
          <w:szCs w:val="21"/>
          <w:highlight w:val="none"/>
        </w:rPr>
      </w:pPr>
      <w:r>
        <w:rPr>
          <w:rFonts w:hint="eastAsia"/>
          <w:szCs w:val="21"/>
          <w:highlight w:val="none"/>
        </w:rPr>
        <w:t>杜绝任何形式的商业贿赂行为。不向国家工作人员、政府采购代理机构工作人员、评审专家及其亲属提供礼品礼金、有价证券、购物券、回扣、佣金、咨询费、劳务费、赞助费、宣传费、宴请；不为其报销各种销费凭证，不支付其旅游、娱乐等费用。</w:t>
      </w:r>
    </w:p>
    <w:p>
      <w:pPr>
        <w:numPr>
          <w:ilvl w:val="0"/>
          <w:numId w:val="14"/>
        </w:numPr>
        <w:spacing w:line="360" w:lineRule="auto"/>
        <w:rPr>
          <w:szCs w:val="21"/>
          <w:highlight w:val="none"/>
        </w:rPr>
      </w:pPr>
      <w:r>
        <w:rPr>
          <w:rFonts w:hint="eastAsia"/>
          <w:szCs w:val="21"/>
          <w:highlight w:val="none"/>
        </w:rPr>
        <w:t>若出现上述行为，我公司及参与投标的工作人员愿意接受按照国家法律法规等有关规定给予的处罚。</w:t>
      </w: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wordWrap w:val="0"/>
        <w:spacing w:line="440" w:lineRule="exact"/>
        <w:ind w:firstLine="3300" w:firstLineChars="1500"/>
        <w:rPr>
          <w:szCs w:val="21"/>
          <w:highlight w:val="none"/>
        </w:rPr>
      </w:pPr>
      <w:r>
        <w:rPr>
          <w:rFonts w:hint="eastAsia"/>
          <w:bCs/>
          <w:szCs w:val="21"/>
          <w:highlight w:val="none"/>
          <w:lang w:eastAsia="zh-CN"/>
        </w:rPr>
        <w:t>供应商</w:t>
      </w:r>
      <w:r>
        <w:rPr>
          <w:rFonts w:hint="eastAsia"/>
          <w:szCs w:val="21"/>
          <w:highlight w:val="none"/>
        </w:rPr>
        <w:t>：</w:t>
      </w:r>
      <w:r>
        <w:rPr>
          <w:rFonts w:hint="eastAsia"/>
          <w:szCs w:val="21"/>
          <w:highlight w:val="none"/>
          <w:u w:val="single"/>
        </w:rPr>
        <w:t xml:space="preserve">                      </w:t>
      </w:r>
      <w:r>
        <w:rPr>
          <w:rFonts w:hint="eastAsia"/>
          <w:szCs w:val="21"/>
          <w:highlight w:val="none"/>
        </w:rPr>
        <w:t>（盖单位公章）</w:t>
      </w:r>
    </w:p>
    <w:p>
      <w:pPr>
        <w:wordWrap w:val="0"/>
        <w:spacing w:line="440" w:lineRule="exact"/>
        <w:ind w:firstLine="2860" w:firstLineChars="1300"/>
        <w:rPr>
          <w:szCs w:val="21"/>
          <w:highlight w:val="none"/>
          <w:u w:val="single"/>
        </w:rPr>
      </w:pPr>
      <w:r>
        <w:rPr>
          <w:rFonts w:hint="eastAsia"/>
          <w:szCs w:val="21"/>
          <w:highlight w:val="none"/>
        </w:rPr>
        <w:t>法定代表人或委托代理人：</w:t>
      </w:r>
      <w:r>
        <w:rPr>
          <w:rFonts w:hint="eastAsia"/>
          <w:szCs w:val="21"/>
          <w:highlight w:val="none"/>
          <w:u w:val="single"/>
        </w:rPr>
        <w:t xml:space="preserve">           </w:t>
      </w:r>
      <w:r>
        <w:rPr>
          <w:rFonts w:hint="eastAsia"/>
          <w:szCs w:val="21"/>
          <w:highlight w:val="none"/>
        </w:rPr>
        <w:t>（签字或盖章）</w:t>
      </w:r>
    </w:p>
    <w:p>
      <w:pPr>
        <w:wordWrap w:val="0"/>
        <w:spacing w:line="440" w:lineRule="exact"/>
        <w:ind w:firstLine="3300" w:firstLineChars="1500"/>
        <w:rPr>
          <w:szCs w:val="21"/>
          <w:highlight w:val="none"/>
        </w:rPr>
      </w:pPr>
      <w:r>
        <w:rPr>
          <w:rFonts w:hint="eastAsia"/>
          <w:szCs w:val="21"/>
          <w:highlight w:val="none"/>
        </w:rPr>
        <w:t>日  期：</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p>
      <w:pPr>
        <w:spacing w:line="360" w:lineRule="auto"/>
        <w:rPr>
          <w:szCs w:val="21"/>
          <w:highlight w:val="none"/>
          <w:u w:val="single"/>
        </w:rPr>
      </w:pPr>
    </w:p>
    <w:p>
      <w:pPr>
        <w:spacing w:line="360" w:lineRule="auto"/>
        <w:rPr>
          <w:szCs w:val="21"/>
          <w:highlight w:val="none"/>
          <w:u w:val="single"/>
        </w:rPr>
      </w:pPr>
    </w:p>
    <w:p>
      <w:pPr>
        <w:spacing w:line="360" w:lineRule="auto"/>
        <w:rPr>
          <w:szCs w:val="21"/>
          <w:highlight w:val="none"/>
          <w:u w:val="single"/>
        </w:rPr>
      </w:pPr>
    </w:p>
    <w:p>
      <w:pPr>
        <w:pStyle w:val="13"/>
        <w:rPr>
          <w:highlight w:val="none"/>
        </w:rPr>
      </w:pPr>
    </w:p>
    <w:p>
      <w:pPr>
        <w:spacing w:line="360" w:lineRule="auto"/>
        <w:rPr>
          <w:szCs w:val="21"/>
          <w:highlight w:val="none"/>
          <w:u w:val="single"/>
        </w:rPr>
      </w:pPr>
    </w:p>
    <w:p>
      <w:pPr>
        <w:spacing w:line="360" w:lineRule="auto"/>
        <w:rPr>
          <w:szCs w:val="21"/>
          <w:highlight w:val="none"/>
          <w:u w:val="single"/>
        </w:rPr>
      </w:pPr>
    </w:p>
    <w:p>
      <w:pPr>
        <w:spacing w:line="360" w:lineRule="auto"/>
        <w:rPr>
          <w:rFonts w:hint="eastAsia"/>
          <w:b/>
          <w:sz w:val="36"/>
          <w:szCs w:val="36"/>
          <w:highlight w:val="none"/>
        </w:rPr>
      </w:pPr>
    </w:p>
    <w:p>
      <w:pPr>
        <w:spacing w:line="360" w:lineRule="auto"/>
        <w:jc w:val="center"/>
        <w:rPr>
          <w:rFonts w:hint="eastAsia"/>
          <w:b/>
          <w:sz w:val="36"/>
          <w:szCs w:val="36"/>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pStyle w:val="2"/>
        <w:bidi w:val="0"/>
        <w:jc w:val="center"/>
        <w:rPr>
          <w:rFonts w:hint="eastAsia" w:ascii="宋体" w:hAnsi="宋体" w:eastAsia="宋体" w:cs="宋体"/>
          <w:b/>
          <w:bCs/>
          <w:highlight w:val="none"/>
          <w:lang w:eastAsia="zh-CN"/>
        </w:rPr>
      </w:pPr>
      <w:r>
        <w:rPr>
          <w:rFonts w:hint="eastAsia" w:ascii="宋体" w:hAnsi="宋体" w:eastAsia="宋体" w:cs="宋体"/>
          <w:b/>
          <w:bCs/>
          <w:highlight w:val="none"/>
          <w:lang w:eastAsia="zh-CN"/>
        </w:rPr>
        <w:t>十、其他材料</w:t>
      </w:r>
      <w:bookmarkEnd w:id="163"/>
    </w:p>
    <w:p>
      <w:pPr>
        <w:rPr>
          <w:rFonts w:hint="eastAsia"/>
          <w:highlight w:val="none"/>
        </w:rPr>
      </w:pPr>
    </w:p>
    <w:p>
      <w:pPr>
        <w:bidi w:val="0"/>
        <w:jc w:val="center"/>
        <w:rPr>
          <w:rFonts w:hint="eastAsia"/>
          <w:highlight w:val="none"/>
          <w:lang w:eastAsia="zh-CN"/>
        </w:rPr>
      </w:pPr>
      <w:r>
        <w:rPr>
          <w:rFonts w:hint="eastAsia"/>
          <w:highlight w:val="none"/>
          <w:lang w:eastAsia="zh-CN"/>
        </w:rPr>
        <w:t>（</w:t>
      </w:r>
      <w:r>
        <w:rPr>
          <w:rFonts w:hint="eastAsia"/>
          <w:highlight w:val="none"/>
        </w:rPr>
        <w:t>投标人认为需要提供的其他材料</w:t>
      </w:r>
      <w:r>
        <w:rPr>
          <w:rFonts w:hint="eastAsia"/>
          <w:highlight w:val="none"/>
          <w:lang w:eastAsia="zh-CN"/>
        </w:rPr>
        <w:t>）</w:t>
      </w:r>
    </w:p>
    <w:p>
      <w:pPr>
        <w:numPr>
          <w:ilvl w:val="0"/>
          <w:numId w:val="0"/>
        </w:numPr>
        <w:rPr>
          <w:rFonts w:hint="eastAsia"/>
          <w:highlight w:val="none"/>
          <w:lang w:val="en-US" w:eastAsia="zh-CN"/>
        </w:rPr>
      </w:pPr>
    </w:p>
    <w:p>
      <w:pPr>
        <w:bidi w:val="0"/>
        <w:rPr>
          <w:rFonts w:hint="eastAsia"/>
          <w:highlight w:val="none"/>
        </w:rPr>
      </w:pPr>
      <w:bookmarkStart w:id="177" w:name="_Toc13333"/>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bookmarkEnd w:id="177"/>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p>
    <w:p>
      <w:pPr>
        <w:bidi w:val="0"/>
        <w:rPr>
          <w:rFonts w:hint="eastAsia"/>
          <w:highlight w:val="none"/>
          <w:lang w:eastAsia="zh-CN"/>
        </w:rPr>
      </w:pPr>
      <w:r>
        <w:rPr>
          <w:rFonts w:hint="eastAsia"/>
          <w:highlight w:val="none"/>
          <w:lang w:eastAsia="zh-CN"/>
        </w:rPr>
        <w:t>附件：</w:t>
      </w:r>
    </w:p>
    <w:p>
      <w:pPr>
        <w:pStyle w:val="5"/>
        <w:spacing w:line="560" w:lineRule="exact"/>
        <w:jc w:val="center"/>
        <w:rPr>
          <w:rFonts w:hint="eastAsia" w:ascii="Times New Roman" w:hAnsi="Times New Roman" w:eastAsia="宋体" w:cs="Times New Roman"/>
          <w:b/>
          <w:bCs/>
          <w:highlight w:val="none"/>
        </w:rPr>
      </w:pPr>
      <w:r>
        <w:rPr>
          <w:rFonts w:hint="eastAsia" w:ascii="Times New Roman" w:hAnsi="Times New Roman" w:eastAsia="宋体" w:cs="Times New Roman"/>
          <w:b/>
          <w:bCs/>
          <w:highlight w:val="none"/>
          <w:lang w:val="en-US" w:eastAsia="zh-CN"/>
        </w:rPr>
        <w:t xml:space="preserve">中小企业声明函（货物） </w:t>
      </w:r>
    </w:p>
    <w:p>
      <w:pPr>
        <w:pStyle w:val="5"/>
        <w:spacing w:line="560" w:lineRule="exact"/>
        <w:rPr>
          <w:rFonts w:hint="eastAsia" w:ascii="Times New Roman" w:hAnsi="Times New Roman" w:eastAsia="宋体" w:cs="Times New Roman"/>
          <w:highlight w:val="none"/>
        </w:rPr>
      </w:pPr>
      <w:r>
        <w:rPr>
          <w:rFonts w:hint="eastAsia" w:ascii="Times New Roman" w:hAnsi="Times New Roman" w:eastAsia="宋体" w:cs="Times New Roman"/>
          <w:highlight w:val="none"/>
        </w:rPr>
        <w:t>本公司（联合体）郑重声明，根据《政府采购促进中小 企业发展管理办法》（财库﹝2020﹞46 号）的规定，本公司 （联合体）参加</w:t>
      </w:r>
      <w:r>
        <w:rPr>
          <w:rFonts w:hint="eastAsia" w:ascii="Times New Roman" w:hAnsi="Times New Roman" w:eastAsia="宋体" w:cs="Times New Roman"/>
          <w:highlight w:val="none"/>
          <w:u w:val="single"/>
        </w:rPr>
        <w:t>（单位名称）</w:t>
      </w:r>
      <w:r>
        <w:rPr>
          <w:rFonts w:hint="eastAsia" w:ascii="Times New Roman" w:hAnsi="Times New Roman" w:eastAsia="宋体" w:cs="Times New Roman"/>
          <w:highlight w:val="none"/>
        </w:rPr>
        <w:t>的</w:t>
      </w:r>
      <w:r>
        <w:rPr>
          <w:rFonts w:hint="eastAsia" w:ascii="Times New Roman" w:hAnsi="Times New Roman" w:eastAsia="宋体" w:cs="Times New Roman"/>
          <w:highlight w:val="none"/>
          <w:u w:val="single"/>
        </w:rPr>
        <w:t>（项目名称）</w:t>
      </w:r>
      <w:r>
        <w:rPr>
          <w:rFonts w:hint="eastAsia" w:ascii="Times New Roman" w:hAnsi="Times New Roman" w:eastAsia="宋体" w:cs="Times New Roman"/>
          <w:highlight w:val="none"/>
        </w:rPr>
        <w:t>采购活动，提供的货物全部由符合政策要求的中小企业制造。相关企业 （含联合体中的中小企业、签订分包意向协议的中小企业） 的具体情况如下：</w:t>
      </w:r>
    </w:p>
    <w:p>
      <w:pPr>
        <w:pStyle w:val="5"/>
        <w:numPr>
          <w:ilvl w:val="0"/>
          <w:numId w:val="15"/>
        </w:numPr>
        <w:spacing w:line="560" w:lineRule="exact"/>
        <w:ind w:left="525" w:leftChars="0" w:firstLine="0" w:firstLineChars="0"/>
        <w:rPr>
          <w:rFonts w:hint="eastAsia"/>
          <w:highlight w:val="none"/>
        </w:rPr>
      </w:pPr>
      <w:r>
        <w:rPr>
          <w:rFonts w:hint="eastAsia" w:ascii="Times New Roman" w:hAnsi="Times New Roman" w:eastAsia="宋体" w:cs="Times New Roman"/>
          <w:highlight w:val="none"/>
          <w:u w:val="single"/>
        </w:rPr>
        <w:t xml:space="preserve">（标的名称） </w:t>
      </w:r>
      <w:r>
        <w:rPr>
          <w:rFonts w:hint="eastAsia" w:ascii="Times New Roman" w:hAnsi="Times New Roman" w:eastAsia="宋体" w:cs="Times New Roman"/>
          <w:highlight w:val="none"/>
        </w:rPr>
        <w:t>，属于</w:t>
      </w:r>
      <w:r>
        <w:rPr>
          <w:rFonts w:hint="eastAsia" w:ascii="Times New Roman" w:hAnsi="Times New Roman" w:eastAsia="宋体" w:cs="Times New Roman"/>
          <w:highlight w:val="none"/>
          <w:u w:val="single"/>
        </w:rPr>
        <w:t>（采购文件中明确的所属行业）</w:t>
      </w:r>
      <w:r>
        <w:rPr>
          <w:rFonts w:hint="eastAsia" w:ascii="Times New Roman" w:hAnsi="Times New Roman" w:eastAsia="宋体" w:cs="Times New Roman"/>
          <w:highlight w:val="none"/>
        </w:rPr>
        <w:t xml:space="preserve"> 行业；制造商为</w:t>
      </w:r>
      <w:r>
        <w:rPr>
          <w:rFonts w:hint="eastAsia" w:ascii="Times New Roman" w:hAnsi="Times New Roman" w:eastAsia="宋体" w:cs="Times New Roman"/>
          <w:highlight w:val="none"/>
          <w:u w:val="single"/>
        </w:rPr>
        <w:t>（企业名称）</w:t>
      </w:r>
      <w:r>
        <w:rPr>
          <w:rFonts w:hint="eastAsia" w:ascii="Times New Roman" w:hAnsi="Times New Roman" w:eastAsia="宋体" w:cs="Times New Roman"/>
          <w:highlight w:val="none"/>
        </w:rPr>
        <w:t>，</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lang w:val="en-US" w:eastAsia="zh-CN"/>
        </w:rPr>
        <w:t xml:space="preserve">    </w:t>
      </w:r>
      <w:r>
        <w:rPr>
          <w:rFonts w:hint="eastAsia"/>
          <w:highlight w:val="none"/>
        </w:rPr>
        <w:t>万元，资产总额为</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 小型企业、微型企业）</w:t>
      </w:r>
      <w:r>
        <w:rPr>
          <w:rFonts w:hint="eastAsia"/>
          <w:highlight w:val="none"/>
        </w:rPr>
        <w:t>；</w:t>
      </w:r>
    </w:p>
    <w:p>
      <w:pPr>
        <w:pStyle w:val="5"/>
        <w:numPr>
          <w:ilvl w:val="0"/>
          <w:numId w:val="15"/>
        </w:numPr>
        <w:spacing w:line="560" w:lineRule="exact"/>
        <w:ind w:left="525" w:leftChars="0" w:firstLine="0" w:firstLineChars="0"/>
        <w:rPr>
          <w:rFonts w:hint="eastAsia" w:ascii="Times New Roman" w:hAnsi="Times New Roman" w:eastAsia="宋体" w:cs="Times New Roman"/>
          <w:highlight w:val="none"/>
        </w:rPr>
      </w:pPr>
      <w:r>
        <w:rPr>
          <w:rFonts w:hint="eastAsia" w:ascii="Times New Roman" w:hAnsi="Times New Roman" w:eastAsia="宋体" w:cs="Times New Roman"/>
          <w:highlight w:val="none"/>
          <w:u w:val="single"/>
        </w:rPr>
        <w:t xml:space="preserve">（标的名称） </w:t>
      </w:r>
      <w:r>
        <w:rPr>
          <w:rFonts w:hint="eastAsia" w:ascii="Times New Roman" w:hAnsi="Times New Roman" w:eastAsia="宋体" w:cs="Times New Roman"/>
          <w:highlight w:val="none"/>
        </w:rPr>
        <w:t>，属于</w:t>
      </w:r>
      <w:r>
        <w:rPr>
          <w:rFonts w:hint="eastAsia" w:ascii="Times New Roman" w:hAnsi="Times New Roman" w:eastAsia="宋体" w:cs="Times New Roman"/>
          <w:highlight w:val="none"/>
          <w:u w:val="single"/>
        </w:rPr>
        <w:t>（采购文件中明确的所属行业）</w:t>
      </w:r>
      <w:r>
        <w:rPr>
          <w:rFonts w:hint="eastAsia" w:ascii="Times New Roman" w:hAnsi="Times New Roman" w:eastAsia="宋体" w:cs="Times New Roman"/>
          <w:highlight w:val="none"/>
        </w:rPr>
        <w:t xml:space="preserve"> 行业；制造商为</w:t>
      </w:r>
      <w:r>
        <w:rPr>
          <w:rFonts w:hint="eastAsia" w:ascii="Times New Roman" w:hAnsi="Times New Roman" w:eastAsia="宋体" w:cs="Times New Roman"/>
          <w:highlight w:val="none"/>
          <w:u w:val="single"/>
        </w:rPr>
        <w:t>（企业名称）</w:t>
      </w:r>
      <w:r>
        <w:rPr>
          <w:rFonts w:hint="eastAsia" w:ascii="Times New Roman" w:hAnsi="Times New Roman" w:eastAsia="宋体" w:cs="Times New Roman"/>
          <w:highlight w:val="none"/>
        </w:rPr>
        <w:t>，</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lang w:val="en-US" w:eastAsia="zh-CN"/>
        </w:rPr>
        <w:t xml:space="preserve">    </w:t>
      </w:r>
      <w:r>
        <w:rPr>
          <w:rFonts w:hint="eastAsia"/>
          <w:highlight w:val="none"/>
        </w:rPr>
        <w:t>万元，资产总额为</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 小型企业、微型企业）</w:t>
      </w:r>
      <w:r>
        <w:rPr>
          <w:rFonts w:hint="eastAsia" w:ascii="Times New Roman" w:hAnsi="Times New Roman" w:eastAsia="宋体" w:cs="Times New Roman"/>
          <w:highlight w:val="none"/>
        </w:rPr>
        <w:t xml:space="preserve">； </w:t>
      </w:r>
    </w:p>
    <w:p>
      <w:pPr>
        <w:pStyle w:val="5"/>
        <w:numPr>
          <w:ilvl w:val="0"/>
          <w:numId w:val="0"/>
        </w:numPr>
        <w:spacing w:line="560" w:lineRule="exact"/>
        <w:ind w:left="525" w:leftChars="0"/>
        <w:rPr>
          <w:rFonts w:hint="eastAsia" w:ascii="Times New Roman" w:hAnsi="Times New Roman" w:eastAsia="宋体" w:cs="Times New Roman"/>
          <w:highlight w:val="none"/>
        </w:rPr>
      </w:pPr>
      <w:r>
        <w:rPr>
          <w:rFonts w:hint="eastAsia" w:ascii="Times New Roman" w:hAnsi="Times New Roman" w:eastAsia="宋体" w:cs="Times New Roman"/>
          <w:highlight w:val="none"/>
        </w:rPr>
        <w:t>……</w:t>
      </w:r>
    </w:p>
    <w:p>
      <w:pPr>
        <w:pStyle w:val="5"/>
        <w:numPr>
          <w:ilvl w:val="0"/>
          <w:numId w:val="0"/>
        </w:numPr>
        <w:spacing w:line="560" w:lineRule="exact"/>
        <w:ind w:firstLine="660" w:firstLineChars="300"/>
        <w:rPr>
          <w:rFonts w:hint="eastAsia" w:ascii="Times New Roman" w:hAnsi="Times New Roman" w:eastAsia="宋体" w:cs="Times New Roman"/>
          <w:highlight w:val="none"/>
        </w:rPr>
      </w:pPr>
      <w:r>
        <w:rPr>
          <w:rFonts w:hint="eastAsia" w:ascii="Times New Roman" w:hAnsi="Times New Roman" w:eastAsia="宋体" w:cs="Times New Roman"/>
          <w:highlight w:val="none"/>
        </w:rPr>
        <w:t>以上企业，不属于大企业的分支机构，不存在控股股东 为大企业的情形，也不存在与大企业的负责人为同一人的情 形。</w:t>
      </w:r>
    </w:p>
    <w:p>
      <w:pPr>
        <w:pStyle w:val="5"/>
        <w:numPr>
          <w:ilvl w:val="0"/>
          <w:numId w:val="0"/>
        </w:numPr>
        <w:spacing w:line="560" w:lineRule="exact"/>
        <w:ind w:firstLine="660" w:firstLineChars="300"/>
        <w:rPr>
          <w:rFonts w:hint="eastAsia" w:ascii="Times New Roman" w:hAnsi="Times New Roman" w:eastAsia="宋体" w:cs="Times New Roman"/>
          <w:highlight w:val="none"/>
        </w:rPr>
      </w:pPr>
      <w:r>
        <w:rPr>
          <w:rFonts w:hint="eastAsia" w:ascii="Times New Roman" w:hAnsi="Times New Roman" w:eastAsia="宋体" w:cs="Times New Roman"/>
          <w:highlight w:val="none"/>
        </w:rPr>
        <w:t xml:space="preserve">本企业对上述声明内容的真实性负责。如有虚假，将依 法承担相应责任。 </w:t>
      </w:r>
    </w:p>
    <w:p>
      <w:pPr>
        <w:pStyle w:val="5"/>
        <w:numPr>
          <w:ilvl w:val="0"/>
          <w:numId w:val="0"/>
        </w:numPr>
        <w:spacing w:line="560" w:lineRule="exact"/>
        <w:ind w:firstLine="440" w:firstLineChars="200"/>
        <w:jc w:val="center"/>
        <w:rPr>
          <w:rFonts w:hint="eastAsia"/>
          <w:highlight w:val="none"/>
        </w:rPr>
      </w:pPr>
      <w:r>
        <w:rPr>
          <w:rFonts w:hint="eastAsia"/>
          <w:highlight w:val="none"/>
        </w:rPr>
        <w:t xml:space="preserve">企业名称（盖章）： </w:t>
      </w:r>
    </w:p>
    <w:p>
      <w:pPr>
        <w:pStyle w:val="5"/>
        <w:numPr>
          <w:ilvl w:val="0"/>
          <w:numId w:val="0"/>
        </w:numPr>
        <w:spacing w:line="560" w:lineRule="exact"/>
        <w:ind w:firstLine="3960" w:firstLineChars="1800"/>
        <w:jc w:val="both"/>
        <w:rPr>
          <w:rFonts w:hint="eastAsia" w:ascii="宋体" w:hAnsi="宋体" w:eastAsia="宋体" w:cs="仿宋"/>
          <w:szCs w:val="21"/>
          <w:highlight w:val="none"/>
          <w:lang w:val="en-US" w:eastAsia="zh-CN"/>
        </w:rPr>
      </w:pPr>
      <w:r>
        <w:rPr>
          <w:rFonts w:hint="eastAsia"/>
          <w:highlight w:val="none"/>
        </w:rPr>
        <w:t>日 期</w:t>
      </w:r>
      <w:r>
        <w:rPr>
          <w:rFonts w:hint="eastAsia"/>
          <w:highlight w:val="none"/>
          <w:lang w:eastAsia="zh-CN"/>
        </w:rPr>
        <w:t>：</w:t>
      </w:r>
    </w:p>
    <w:p>
      <w:pPr>
        <w:rPr>
          <w:rFonts w:hint="eastAsia"/>
          <w:highlight w:val="none"/>
        </w:rPr>
      </w:pPr>
    </w:p>
    <w:p>
      <w:pPr>
        <w:rPr>
          <w:rFonts w:hint="eastAsia"/>
          <w:highlight w:val="none"/>
        </w:rPr>
      </w:pPr>
    </w:p>
    <w:p>
      <w:pPr>
        <w:rPr>
          <w:rFonts w:hint="eastAsia"/>
          <w:highlight w:val="none"/>
        </w:rPr>
      </w:pPr>
      <w:r>
        <w:rPr>
          <w:rFonts w:hint="eastAsia"/>
          <w:highlight w:val="none"/>
        </w:rPr>
        <w:t>说明：</w:t>
      </w:r>
      <w:r>
        <w:rPr>
          <w:rFonts w:hint="eastAsia" w:ascii="宋体" w:hAnsi="宋体" w:cs="仿宋"/>
          <w:szCs w:val="21"/>
          <w:highlight w:val="none"/>
        </w:rPr>
        <w:t>属于</w:t>
      </w:r>
      <w:r>
        <w:rPr>
          <w:rFonts w:hint="eastAsia" w:ascii="宋体" w:hAnsi="宋体" w:cs="仿宋"/>
          <w:szCs w:val="21"/>
          <w:highlight w:val="none"/>
          <w:lang w:eastAsia="zh-CN"/>
        </w:rPr>
        <w:t>中小企业</w:t>
      </w:r>
      <w:r>
        <w:rPr>
          <w:rFonts w:hint="eastAsia" w:ascii="宋体" w:hAnsi="宋体" w:cs="仿宋"/>
          <w:szCs w:val="21"/>
          <w:highlight w:val="none"/>
        </w:rPr>
        <w:t>的填写，不属于的无需填写此项内容。</w:t>
      </w: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rPr>
          <w:rFonts w:hint="eastAsia" w:ascii="Times New Roman" w:hAnsi="Times New Roman" w:eastAsia="宋体" w:cs="Times New Roman"/>
          <w:highlight w:val="none"/>
        </w:rPr>
      </w:pPr>
    </w:p>
    <w:p>
      <w:pPr>
        <w:pStyle w:val="5"/>
        <w:numPr>
          <w:ilvl w:val="0"/>
          <w:numId w:val="0"/>
        </w:numPr>
        <w:spacing w:line="560" w:lineRule="exact"/>
        <w:ind w:firstLine="660" w:firstLineChars="300"/>
        <w:jc w:val="center"/>
        <w:rPr>
          <w:rFonts w:hint="eastAsia"/>
          <w:b/>
          <w:bCs/>
          <w:highlight w:val="none"/>
        </w:rPr>
      </w:pPr>
    </w:p>
    <w:p>
      <w:pPr>
        <w:pStyle w:val="5"/>
        <w:numPr>
          <w:ilvl w:val="0"/>
          <w:numId w:val="0"/>
        </w:numPr>
        <w:spacing w:line="560" w:lineRule="exact"/>
        <w:ind w:firstLine="660" w:firstLineChars="300"/>
        <w:jc w:val="center"/>
        <w:rPr>
          <w:rFonts w:hint="eastAsia"/>
          <w:b/>
          <w:bCs/>
          <w:highlight w:val="none"/>
        </w:rPr>
      </w:pPr>
      <w:r>
        <w:rPr>
          <w:rFonts w:hint="eastAsia"/>
          <w:b/>
          <w:bCs/>
          <w:highlight w:val="none"/>
        </w:rPr>
        <w:t>中小企业声明函（工程、服务）</w:t>
      </w:r>
    </w:p>
    <w:p>
      <w:pPr>
        <w:pStyle w:val="5"/>
        <w:spacing w:line="560" w:lineRule="exact"/>
        <w:rPr>
          <w:rFonts w:hint="eastAsia"/>
          <w:highlight w:val="none"/>
        </w:rPr>
      </w:pPr>
      <w:r>
        <w:rPr>
          <w:rFonts w:hint="eastAsia"/>
          <w:highlight w:val="none"/>
        </w:rPr>
        <w:t>本公司（联合体）郑重声明，根据《政府采购促进中小企业发展管理办法》（财库﹝2020﹞46 号）的规定，本公司 （联合体）参加</w:t>
      </w:r>
      <w:r>
        <w:rPr>
          <w:rFonts w:hint="eastAsia"/>
          <w:highlight w:val="none"/>
          <w:u w:val="single"/>
        </w:rPr>
        <w:t>（单位名称）</w:t>
      </w:r>
      <w:r>
        <w:rPr>
          <w:rFonts w:hint="eastAsia"/>
          <w:highlight w:val="none"/>
        </w:rPr>
        <w:t>的</w:t>
      </w:r>
      <w:r>
        <w:rPr>
          <w:rFonts w:hint="eastAsia"/>
          <w:highlight w:val="none"/>
          <w:u w:val="single"/>
        </w:rPr>
        <w:t>（项目名称）</w:t>
      </w:r>
      <w:r>
        <w:rPr>
          <w:rFonts w:hint="eastAsia"/>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5"/>
        <w:numPr>
          <w:ilvl w:val="0"/>
          <w:numId w:val="16"/>
        </w:numPr>
        <w:spacing w:line="560" w:lineRule="exact"/>
        <w:rPr>
          <w:rFonts w:hint="eastAsia"/>
          <w:highlight w:val="none"/>
        </w:rPr>
      </w:pPr>
      <w:r>
        <w:rPr>
          <w:rFonts w:hint="eastAsia"/>
          <w:highlight w:val="none"/>
          <w:u w:val="single"/>
        </w:rPr>
        <w:t xml:space="preserve">（标的名称） </w:t>
      </w:r>
      <w:r>
        <w:rPr>
          <w:rFonts w:hint="eastAsia"/>
          <w:highlight w:val="none"/>
        </w:rPr>
        <w:t>，属于</w:t>
      </w:r>
      <w:r>
        <w:rPr>
          <w:rFonts w:hint="eastAsia"/>
          <w:highlight w:val="none"/>
          <w:u w:val="single"/>
        </w:rPr>
        <w:t>（采购文件中明确的所属行业）</w:t>
      </w:r>
      <w:r>
        <w:rPr>
          <w:rFonts w:hint="eastAsia"/>
          <w:highlight w:val="none"/>
        </w:rPr>
        <w:t>； 承建（承接）企业为</w:t>
      </w:r>
      <w:r>
        <w:rPr>
          <w:rFonts w:hint="eastAsia"/>
          <w:highlight w:val="none"/>
          <w:u w:val="single"/>
        </w:rPr>
        <w:t>（企业名称）</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lang w:val="en-US" w:eastAsia="zh-CN"/>
        </w:rPr>
        <w:t xml:space="preserve">    </w:t>
      </w:r>
      <w:r>
        <w:rPr>
          <w:rFonts w:hint="eastAsia"/>
          <w:highlight w:val="none"/>
        </w:rPr>
        <w:t>万元，资产总额为</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 小型企业、微型企业）</w:t>
      </w:r>
      <w:r>
        <w:rPr>
          <w:rFonts w:hint="eastAsia"/>
          <w:highlight w:val="none"/>
        </w:rPr>
        <w:t>；</w:t>
      </w:r>
    </w:p>
    <w:p>
      <w:pPr>
        <w:pStyle w:val="5"/>
        <w:numPr>
          <w:ilvl w:val="0"/>
          <w:numId w:val="16"/>
        </w:numPr>
        <w:spacing w:line="560" w:lineRule="exact"/>
        <w:ind w:left="0" w:leftChars="0" w:firstLine="420" w:firstLineChars="0"/>
        <w:rPr>
          <w:rFonts w:hint="eastAsia"/>
          <w:highlight w:val="none"/>
        </w:rPr>
      </w:pPr>
      <w:r>
        <w:rPr>
          <w:rFonts w:hint="eastAsia"/>
          <w:highlight w:val="none"/>
          <w:u w:val="single"/>
        </w:rPr>
        <w:t xml:space="preserve">（标的名称） </w:t>
      </w:r>
      <w:r>
        <w:rPr>
          <w:rFonts w:hint="eastAsia"/>
          <w:highlight w:val="none"/>
        </w:rPr>
        <w:t>，属于</w:t>
      </w:r>
      <w:r>
        <w:rPr>
          <w:rFonts w:hint="eastAsia"/>
          <w:highlight w:val="none"/>
          <w:u w:val="single"/>
        </w:rPr>
        <w:t>（采购文件中明确的所属行业）</w:t>
      </w:r>
      <w:r>
        <w:rPr>
          <w:rFonts w:hint="eastAsia"/>
          <w:highlight w:val="none"/>
        </w:rPr>
        <w:t>； 承建（承接）企业为</w:t>
      </w:r>
      <w:r>
        <w:rPr>
          <w:rFonts w:hint="eastAsia"/>
          <w:highlight w:val="none"/>
          <w:u w:val="single"/>
        </w:rPr>
        <w:t>（企业名称）</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lang w:val="en-US" w:eastAsia="zh-CN"/>
        </w:rPr>
        <w:t xml:space="preserve">    </w:t>
      </w:r>
      <w:r>
        <w:rPr>
          <w:rFonts w:hint="eastAsia"/>
          <w:highlight w:val="none"/>
        </w:rPr>
        <w:t>万元，资产总额为</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 小型企业、微型企业）</w:t>
      </w:r>
      <w:r>
        <w:rPr>
          <w:rFonts w:hint="eastAsia"/>
          <w:highlight w:val="none"/>
        </w:rPr>
        <w:t>；</w:t>
      </w:r>
    </w:p>
    <w:p>
      <w:pPr>
        <w:pStyle w:val="5"/>
        <w:numPr>
          <w:ilvl w:val="0"/>
          <w:numId w:val="0"/>
        </w:numPr>
        <w:spacing w:line="560" w:lineRule="exact"/>
        <w:ind w:left="420" w:leftChars="0"/>
        <w:rPr>
          <w:rFonts w:hint="eastAsia"/>
          <w:highlight w:val="none"/>
        </w:rPr>
      </w:pPr>
      <w:r>
        <w:rPr>
          <w:rFonts w:hint="eastAsia"/>
          <w:highlight w:val="none"/>
        </w:rPr>
        <w:t xml:space="preserve"> ……</w:t>
      </w:r>
    </w:p>
    <w:p>
      <w:pPr>
        <w:pStyle w:val="5"/>
        <w:numPr>
          <w:ilvl w:val="0"/>
          <w:numId w:val="0"/>
        </w:numPr>
        <w:spacing w:line="560" w:lineRule="exact"/>
        <w:ind w:firstLine="440" w:firstLineChars="200"/>
        <w:rPr>
          <w:rFonts w:hint="eastAsia"/>
          <w:highlight w:val="none"/>
        </w:rPr>
      </w:pPr>
      <w:r>
        <w:rPr>
          <w:rFonts w:hint="eastAsia"/>
          <w:highlight w:val="none"/>
        </w:rPr>
        <w:t>以上企业，不属于大企业的分支机构，不存在控股股东为大企业的情形，也不存在与大企业的负责人为同一人的情形。</w:t>
      </w:r>
    </w:p>
    <w:p>
      <w:pPr>
        <w:pStyle w:val="5"/>
        <w:numPr>
          <w:ilvl w:val="0"/>
          <w:numId w:val="0"/>
        </w:numPr>
        <w:spacing w:line="560" w:lineRule="exact"/>
        <w:ind w:firstLine="440" w:firstLineChars="200"/>
        <w:rPr>
          <w:rFonts w:hint="eastAsia"/>
          <w:highlight w:val="none"/>
        </w:rPr>
      </w:pPr>
      <w:r>
        <w:rPr>
          <w:rFonts w:hint="eastAsia"/>
          <w:highlight w:val="none"/>
        </w:rPr>
        <w:t xml:space="preserve">本企业对上述声明内容的真实性负责。如有虚假，将依 法承担相应责任。 </w:t>
      </w:r>
    </w:p>
    <w:p>
      <w:pPr>
        <w:pStyle w:val="5"/>
        <w:numPr>
          <w:ilvl w:val="0"/>
          <w:numId w:val="0"/>
        </w:numPr>
        <w:spacing w:line="560" w:lineRule="exact"/>
        <w:ind w:firstLine="440" w:firstLineChars="200"/>
        <w:jc w:val="center"/>
        <w:rPr>
          <w:rFonts w:hint="eastAsia"/>
          <w:highlight w:val="none"/>
        </w:rPr>
      </w:pPr>
      <w:r>
        <w:rPr>
          <w:rFonts w:hint="eastAsia"/>
          <w:highlight w:val="none"/>
        </w:rPr>
        <w:t xml:space="preserve">企业名称（盖章）： </w:t>
      </w:r>
    </w:p>
    <w:p>
      <w:pPr>
        <w:pStyle w:val="5"/>
        <w:numPr>
          <w:ilvl w:val="0"/>
          <w:numId w:val="0"/>
        </w:numPr>
        <w:spacing w:line="560" w:lineRule="exact"/>
        <w:ind w:firstLine="3960" w:firstLineChars="1800"/>
        <w:jc w:val="both"/>
        <w:rPr>
          <w:rFonts w:hint="eastAsia" w:ascii="宋体" w:hAnsi="宋体" w:eastAsia="宋体" w:cs="仿宋"/>
          <w:szCs w:val="21"/>
          <w:highlight w:val="none"/>
          <w:lang w:val="en-US" w:eastAsia="zh-CN"/>
        </w:rPr>
      </w:pPr>
      <w:r>
        <w:rPr>
          <w:rFonts w:hint="eastAsia"/>
          <w:highlight w:val="none"/>
        </w:rPr>
        <w:t>日 期</w:t>
      </w:r>
      <w:r>
        <w:rPr>
          <w:rFonts w:hint="eastAsia"/>
          <w:highlight w:val="none"/>
          <w:lang w:eastAsia="zh-CN"/>
        </w:rPr>
        <w:t>：</w:t>
      </w:r>
    </w:p>
    <w:p>
      <w:pPr>
        <w:rPr>
          <w:rFonts w:hint="eastAsia"/>
          <w:highlight w:val="none"/>
        </w:rPr>
      </w:pPr>
    </w:p>
    <w:p>
      <w:pPr>
        <w:rPr>
          <w:rFonts w:hint="eastAsia"/>
          <w:highlight w:val="none"/>
        </w:rPr>
      </w:pPr>
    </w:p>
    <w:p>
      <w:pPr>
        <w:rPr>
          <w:rFonts w:hint="eastAsia"/>
          <w:highlight w:val="none"/>
        </w:rPr>
      </w:pPr>
      <w:r>
        <w:rPr>
          <w:rFonts w:hint="eastAsia"/>
          <w:highlight w:val="none"/>
        </w:rPr>
        <w:t>说明：</w:t>
      </w:r>
      <w:r>
        <w:rPr>
          <w:rFonts w:hint="eastAsia" w:ascii="宋体" w:hAnsi="宋体" w:cs="仿宋"/>
          <w:szCs w:val="21"/>
          <w:highlight w:val="none"/>
        </w:rPr>
        <w:t>属于</w:t>
      </w:r>
      <w:r>
        <w:rPr>
          <w:rFonts w:hint="eastAsia" w:ascii="宋体" w:hAnsi="宋体" w:cs="仿宋"/>
          <w:szCs w:val="21"/>
          <w:highlight w:val="none"/>
          <w:lang w:eastAsia="zh-CN"/>
        </w:rPr>
        <w:t>中小企业</w:t>
      </w:r>
      <w:r>
        <w:rPr>
          <w:rFonts w:hint="eastAsia" w:ascii="宋体" w:hAnsi="宋体" w:cs="仿宋"/>
          <w:szCs w:val="21"/>
          <w:highlight w:val="none"/>
        </w:rPr>
        <w:t>的填写，不属于的无需填写此项内容。</w:t>
      </w:r>
    </w:p>
    <w:p>
      <w:pPr>
        <w:rPr>
          <w:rFonts w:hint="eastAsia"/>
          <w:highlight w:val="none"/>
        </w:rPr>
      </w:pPr>
      <w:r>
        <w:rPr>
          <w:highlight w:val="none"/>
        </w:rPr>
        <w:br w:type="page"/>
      </w:r>
    </w:p>
    <w:p>
      <w:pPr>
        <w:pStyle w:val="5"/>
        <w:spacing w:line="560" w:lineRule="exact"/>
        <w:jc w:val="center"/>
        <w:rPr>
          <w:rFonts w:hint="eastAsia" w:ascii="Times New Roman" w:hAnsi="Times New Roman" w:eastAsia="宋体" w:cs="Times New Roman"/>
          <w:b/>
          <w:bCs/>
          <w:highlight w:val="none"/>
        </w:rPr>
      </w:pPr>
      <w:r>
        <w:rPr>
          <w:rFonts w:hint="eastAsia" w:ascii="Times New Roman" w:hAnsi="Times New Roman" w:eastAsia="宋体" w:cs="Times New Roman"/>
          <w:b/>
          <w:bCs/>
          <w:highlight w:val="none"/>
        </w:rPr>
        <w:t>残疾人福利性单位声明函</w:t>
      </w:r>
    </w:p>
    <w:p>
      <w:pPr>
        <w:spacing w:line="540" w:lineRule="exact"/>
        <w:ind w:firstLine="440" w:firstLineChars="200"/>
        <w:rPr>
          <w:rFonts w:hint="eastAsia" w:ascii="宋体" w:hAnsi="宋体" w:cs="仿宋"/>
          <w:szCs w:val="21"/>
          <w:highlight w:val="none"/>
        </w:rPr>
      </w:pPr>
      <w:r>
        <w:rPr>
          <w:rFonts w:hint="eastAsia" w:ascii="宋体" w:hAnsi="宋体" w:cs="仿宋"/>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40" w:lineRule="exact"/>
        <w:ind w:firstLine="440" w:firstLineChars="200"/>
        <w:rPr>
          <w:rFonts w:hint="eastAsia" w:ascii="宋体" w:hAnsi="宋体" w:cs="仿宋"/>
          <w:szCs w:val="21"/>
          <w:highlight w:val="none"/>
        </w:rPr>
      </w:pPr>
      <w:r>
        <w:rPr>
          <w:rFonts w:hint="eastAsia" w:ascii="宋体" w:hAnsi="宋体" w:cs="仿宋"/>
          <w:szCs w:val="21"/>
          <w:highlight w:val="none"/>
        </w:rPr>
        <w:t>本单位对上述声明的真实性负责。如有虚假，将依法承担相应责任。</w:t>
      </w:r>
    </w:p>
    <w:p>
      <w:pPr>
        <w:spacing w:line="540" w:lineRule="exact"/>
        <w:ind w:firstLine="440" w:firstLineChars="200"/>
        <w:rPr>
          <w:rFonts w:hint="eastAsia" w:ascii="宋体" w:hAnsi="宋体" w:cs="仿宋"/>
          <w:szCs w:val="21"/>
          <w:highlight w:val="none"/>
        </w:rPr>
      </w:pPr>
    </w:p>
    <w:p>
      <w:pPr>
        <w:rPr>
          <w:rFonts w:hint="eastAsia"/>
          <w:highlight w:val="none"/>
        </w:rPr>
      </w:pPr>
    </w:p>
    <w:p>
      <w:pPr>
        <w:rPr>
          <w:rFonts w:hint="eastAsia" w:ascii="宋体" w:hAnsi="宋体" w:cs="仿宋"/>
          <w:szCs w:val="21"/>
          <w:highlight w:val="none"/>
        </w:rPr>
      </w:pPr>
      <w:r>
        <w:rPr>
          <w:rFonts w:hint="eastAsia"/>
          <w:highlight w:val="none"/>
        </w:rPr>
        <w:t xml:space="preserve">  </w:t>
      </w:r>
      <w:r>
        <w:rPr>
          <w:rFonts w:hint="eastAsia" w:ascii="宋体" w:hAnsi="宋体" w:cs="仿宋"/>
          <w:szCs w:val="21"/>
          <w:highlight w:val="none"/>
        </w:rPr>
        <w:t xml:space="preserve">    单位名称（盖章）：          </w:t>
      </w:r>
    </w:p>
    <w:p>
      <w:pPr>
        <w:rPr>
          <w:rFonts w:hint="eastAsia" w:ascii="宋体" w:hAnsi="宋体" w:cs="仿宋"/>
          <w:szCs w:val="21"/>
          <w:highlight w:val="none"/>
        </w:rPr>
      </w:pPr>
      <w:r>
        <w:rPr>
          <w:rFonts w:hint="eastAsia" w:ascii="宋体" w:hAnsi="宋体" w:cs="仿宋"/>
          <w:szCs w:val="21"/>
          <w:highlight w:val="none"/>
        </w:rPr>
        <w:t xml:space="preserve">       </w:t>
      </w:r>
    </w:p>
    <w:p>
      <w:pPr>
        <w:ind w:firstLine="660" w:firstLineChars="300"/>
        <w:rPr>
          <w:rFonts w:hint="eastAsia"/>
          <w:highlight w:val="none"/>
        </w:rPr>
      </w:pPr>
      <w:r>
        <w:rPr>
          <w:rFonts w:hint="eastAsia" w:ascii="宋体" w:hAnsi="宋体" w:cs="仿宋"/>
          <w:szCs w:val="21"/>
          <w:highlight w:val="none"/>
        </w:rPr>
        <w:t xml:space="preserve">日  期：    </w:t>
      </w:r>
      <w:r>
        <w:rPr>
          <w:rFonts w:hint="eastAsia"/>
          <w:highlight w:val="none"/>
        </w:rPr>
        <w:t xml:space="preserve">     </w:t>
      </w:r>
    </w:p>
    <w:p>
      <w:pPr>
        <w:rPr>
          <w:highlight w:val="none"/>
        </w:rPr>
      </w:pPr>
    </w:p>
    <w:p>
      <w:pPr>
        <w:rPr>
          <w:highlight w:val="none"/>
        </w:rPr>
      </w:pPr>
    </w:p>
    <w:p>
      <w:pPr>
        <w:rPr>
          <w:rFonts w:hint="eastAsia"/>
          <w:highlight w:val="none"/>
        </w:rPr>
      </w:pPr>
    </w:p>
    <w:p>
      <w:pPr>
        <w:rPr>
          <w:rFonts w:hint="eastAsia"/>
          <w:highlight w:val="none"/>
        </w:rPr>
      </w:pPr>
      <w:r>
        <w:rPr>
          <w:rFonts w:hint="eastAsia"/>
          <w:highlight w:val="none"/>
        </w:rPr>
        <w:t>说明：</w:t>
      </w:r>
      <w:r>
        <w:rPr>
          <w:rFonts w:hint="eastAsia" w:ascii="宋体" w:hAnsi="宋体" w:cs="仿宋"/>
          <w:szCs w:val="21"/>
          <w:highlight w:val="none"/>
        </w:rPr>
        <w:t>属于残疾人福利性单位的填写，不属于的无需填写此项内容。</w:t>
      </w:r>
    </w:p>
    <w:p>
      <w:pPr>
        <w:rPr>
          <w:rFonts w:hint="eastAsia"/>
          <w:highlight w:val="none"/>
        </w:rPr>
      </w:pPr>
    </w:p>
    <w:p>
      <w:pPr>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pStyle w:val="5"/>
        <w:spacing w:line="560" w:lineRule="exact"/>
        <w:ind w:left="0" w:leftChars="0" w:firstLine="0" w:firstLineChars="0"/>
        <w:jc w:val="center"/>
        <w:rPr>
          <w:rFonts w:hint="eastAsia" w:ascii="Times New Roman" w:hAnsi="Times New Roman" w:eastAsia="宋体" w:cs="Times New Roman"/>
          <w:b/>
          <w:bCs/>
          <w:highlight w:val="none"/>
        </w:rPr>
      </w:pPr>
      <w:r>
        <w:rPr>
          <w:rFonts w:hint="eastAsia" w:ascii="Times New Roman" w:hAnsi="Times New Roman" w:eastAsia="宋体" w:cs="Times New Roman"/>
          <w:b/>
          <w:bCs/>
          <w:highlight w:val="none"/>
        </w:rPr>
        <w:t>监狱企业证明文件</w:t>
      </w:r>
    </w:p>
    <w:p>
      <w:pPr>
        <w:bidi w:val="0"/>
        <w:rPr>
          <w:color w:val="000000"/>
          <w:highlight w:val="none"/>
        </w:rPr>
      </w:pPr>
      <w:r>
        <w:rPr>
          <w:rFonts w:hint="eastAsia"/>
          <w:highlight w:val="none"/>
        </w:rPr>
        <w:t>（监</w:t>
      </w:r>
      <w:r>
        <w:rPr>
          <w:rFonts w:hint="eastAsia"/>
          <w:color w:val="000000"/>
          <w:spacing w:val="4"/>
          <w:szCs w:val="21"/>
          <w:highlight w:val="none"/>
        </w:rPr>
        <w:t>狱企业参加政府采购活动时，应当提供由省级以上监狱管理局、戒毒管理局(含新疆生产建设兵团)出具的属于监狱企业的证明文件。</w:t>
      </w:r>
      <w:r>
        <w:rPr>
          <w:rFonts w:hint="eastAsia"/>
          <w:color w:val="000000"/>
          <w:highlight w:val="none"/>
        </w:rPr>
        <w:t>）</w:t>
      </w:r>
    </w:p>
    <w:p>
      <w:pPr>
        <w:spacing w:line="360" w:lineRule="auto"/>
        <w:rPr>
          <w:rFonts w:hint="eastAsia"/>
          <w:b/>
          <w:bCs/>
          <w:color w:val="000000"/>
          <w:szCs w:val="21"/>
          <w:highlight w:val="none"/>
        </w:rPr>
      </w:pPr>
    </w:p>
    <w:p>
      <w:pPr>
        <w:spacing w:line="360" w:lineRule="auto"/>
        <w:rPr>
          <w:rFonts w:hint="eastAsia"/>
          <w:b/>
          <w:bCs/>
          <w:color w:val="000000"/>
          <w:szCs w:val="21"/>
          <w:highlight w:val="none"/>
        </w:rPr>
      </w:pPr>
    </w:p>
    <w:p>
      <w:pPr>
        <w:spacing w:line="360" w:lineRule="auto"/>
        <w:rPr>
          <w:rFonts w:hint="eastAsia"/>
          <w:b/>
          <w:bCs/>
          <w:color w:val="000000"/>
          <w:szCs w:val="21"/>
          <w:highlight w:val="none"/>
        </w:rPr>
      </w:pPr>
    </w:p>
    <w:p>
      <w:pPr>
        <w:spacing w:line="360" w:lineRule="auto"/>
        <w:rPr>
          <w:b/>
          <w:bCs/>
          <w:color w:val="000000"/>
          <w:szCs w:val="21"/>
          <w:highlight w:val="none"/>
        </w:rPr>
      </w:pPr>
      <w:r>
        <w:rPr>
          <w:rFonts w:hint="eastAsia"/>
          <w:b/>
          <w:bCs/>
          <w:color w:val="000000"/>
          <w:szCs w:val="21"/>
          <w:highlight w:val="none"/>
        </w:rPr>
        <w:t>说明：非监狱企业投标时不用提供该声明。</w:t>
      </w:r>
    </w:p>
    <w:p>
      <w:pPr>
        <w:rPr>
          <w:rFonts w:hint="eastAsia"/>
          <w:highlight w:val="none"/>
        </w:rPr>
      </w:pPr>
    </w:p>
    <w:p>
      <w:pPr>
        <w:pStyle w:val="4"/>
        <w:spacing w:line="240" w:lineRule="auto"/>
        <w:ind w:right="0"/>
        <w:jc w:val="left"/>
        <w:rPr>
          <w:highlight w:val="none"/>
        </w:rPr>
      </w:pPr>
    </w:p>
    <w:sectPr>
      <w:headerReference r:id="rId21" w:type="default"/>
      <w:footerReference r:id="rId22" w:type="default"/>
      <w:pgSz w:w="11910" w:h="16840"/>
      <w:pgMar w:top="1180" w:right="960" w:bottom="1240" w:left="960" w:header="878" w:footer="105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sz="24" w:space="1"/>
      </w:pBdr>
      <w:tabs>
        <w:tab w:val="clear" w:pos="4153"/>
      </w:tabs>
      <w:ind w:firstLine="4140" w:firstLineChars="2300"/>
      <w:rPr>
        <w:rFonts w:ascii="Cambria" w:hAnsi="Cambria"/>
      </w:rPr>
    </w:pPr>
    <w:r>
      <w:rPr>
        <w:sz w:val="18"/>
      </w:rPr>
      <w:pict>
        <v:shape id="_x0000_s2101" o:spid="_x0000_s2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102" o:spid="_x0000_s210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w:pict>
        <v:shape id="_x0000_s2103" o:spid="_x0000_s210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w:pict>
        <v:shape id="_x0000_s2104" o:spid="_x0000_s210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w:pict>
        <v:shape id="_x0000_s2105" o:spid="_x0000_s210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w:pict>
        <v:shape id="_x0000_s2106" o:spid="_x0000_s210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107" o:spid="_x0000_s2107"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26</w:t>
                </w:r>
                <w:r>
                  <w:fldChar w:fldCharType="end"/>
                </w:r>
              </w:p>
            </w:txbxContent>
          </v:textbox>
        </v:shape>
      </w:pict>
    </w:r>
  </w:p>
  <w:p>
    <w:pPr>
      <w:pStyle w:val="9"/>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w:pict>
        <v:shape id="_x0000_s2108" o:spid="_x0000_s2108"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ascii="Cambria" w:hAnsi="Cambria"/>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after="0" w:line="14" w:lineRule="auto"/>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pPr>
    <w:r>
      <w:rPr>
        <w:rFonts w:hint="eastAsia"/>
      </w:rPr>
      <w:t xml:space="preserve"> </w:t>
    </w:r>
  </w:p>
  <w:p>
    <w:pPr>
      <w:pStyle w:val="10"/>
      <w:pBdr>
        <w:bottom w:val="none" w:color="auto" w:sz="0" w:space="1"/>
      </w:pBdr>
      <w:jc w:val="left"/>
      <w:rPr>
        <w:u w:val="single"/>
      </w:rPr>
    </w:pPr>
    <w:r>
      <w:rPr>
        <w:rFonts w:hint="eastAsia" w:ascii="宋体" w:hAnsi="宋体" w:cs="宋体"/>
        <w:szCs w:val="21"/>
      </w:rPr>
      <w:t xml:space="preserve">                               </w:t>
    </w:r>
  </w:p>
  <w:p>
    <w:pPr>
      <w:pStyle w:val="10"/>
      <w:pBdr>
        <w:bottom w:val="none" w:color="auto" w:sz="0" w:space="1"/>
      </w:pBdr>
      <w:rPr>
        <w:rFonts w:hint="eastAsia"/>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group id="_x0000_s2085" o:spid="_x0000_s2085" o:spt="203" style="position:absolute;left:0pt;margin-left:54.45pt;margin-top:55.55pt;height:0.1pt;width:486.4pt;mso-position-horizontal-relative:page;mso-position-vertical-relative:page;z-index:-251656192;mso-width-relative:page;mso-height-relative:page;" coordorigin="1089,1111" coordsize="9728,2">
          <o:lock v:ext="edit"/>
          <v:shape id="_x0000_s2086" o:spid="_x0000_s2086" style="position:absolute;left:1089;top:1111;height:2;width:9728;" filled="f" stroked="t" coordorigin="1089,1111" coordsize="9728,0" path="m1089,1111l10817,1111e">
            <v:path arrowok="t"/>
            <v:fill on="f" focussize="0,0"/>
            <v:stroke weight="0.72pt" color="#612322"/>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C18FF"/>
    <w:multiLevelType w:val="singleLevel"/>
    <w:tmpl w:val="A60C18FF"/>
    <w:lvl w:ilvl="0" w:tentative="0">
      <w:start w:val="1"/>
      <w:numFmt w:val="decimal"/>
      <w:suff w:val="space"/>
      <w:lvlText w:val="%1."/>
      <w:lvlJc w:val="left"/>
      <w:pPr>
        <w:ind w:left="525" w:firstLine="0"/>
      </w:pPr>
    </w:lvl>
  </w:abstractNum>
  <w:abstractNum w:abstractNumId="1">
    <w:nsid w:val="B4155E14"/>
    <w:multiLevelType w:val="singleLevel"/>
    <w:tmpl w:val="B4155E14"/>
    <w:lvl w:ilvl="0" w:tentative="0">
      <w:start w:val="1"/>
      <w:numFmt w:val="decimal"/>
      <w:lvlText w:val="%1."/>
      <w:lvlJc w:val="left"/>
      <w:pPr>
        <w:tabs>
          <w:tab w:val="left" w:pos="312"/>
        </w:tabs>
      </w:pPr>
    </w:lvl>
  </w:abstractNum>
  <w:abstractNum w:abstractNumId="2">
    <w:nsid w:val="B7C83B64"/>
    <w:multiLevelType w:val="singleLevel"/>
    <w:tmpl w:val="B7C83B64"/>
    <w:lvl w:ilvl="0" w:tentative="0">
      <w:start w:val="1"/>
      <w:numFmt w:val="decimal"/>
      <w:suff w:val="nothing"/>
      <w:lvlText w:val="%1、"/>
      <w:lvlJc w:val="left"/>
    </w:lvl>
  </w:abstractNum>
  <w:abstractNum w:abstractNumId="3">
    <w:nsid w:val="D1571BBF"/>
    <w:multiLevelType w:val="singleLevel"/>
    <w:tmpl w:val="D1571BBF"/>
    <w:lvl w:ilvl="0" w:tentative="0">
      <w:start w:val="1"/>
      <w:numFmt w:val="decimal"/>
      <w:suff w:val="nothing"/>
      <w:lvlText w:val="%1、"/>
      <w:lvlJc w:val="left"/>
    </w:lvl>
  </w:abstractNum>
  <w:abstractNum w:abstractNumId="4">
    <w:nsid w:val="D7D5F28C"/>
    <w:multiLevelType w:val="singleLevel"/>
    <w:tmpl w:val="D7D5F28C"/>
    <w:lvl w:ilvl="0" w:tentative="0">
      <w:start w:val="2"/>
      <w:numFmt w:val="chineseCounting"/>
      <w:suff w:val="nothing"/>
      <w:lvlText w:val="%1、"/>
      <w:lvlJc w:val="left"/>
      <w:rPr>
        <w:rFonts w:hint="eastAsia"/>
      </w:rPr>
    </w:lvl>
  </w:abstractNum>
  <w:abstractNum w:abstractNumId="5">
    <w:nsid w:val="D9F4152D"/>
    <w:multiLevelType w:val="singleLevel"/>
    <w:tmpl w:val="D9F4152D"/>
    <w:lvl w:ilvl="0" w:tentative="0">
      <w:start w:val="1"/>
      <w:numFmt w:val="decimal"/>
      <w:suff w:val="space"/>
      <w:lvlText w:val="%1."/>
      <w:lvlJc w:val="left"/>
    </w:lvl>
  </w:abstractNum>
  <w:abstractNum w:abstractNumId="6">
    <w:nsid w:val="F9E547B2"/>
    <w:multiLevelType w:val="singleLevel"/>
    <w:tmpl w:val="F9E547B2"/>
    <w:lvl w:ilvl="0" w:tentative="0">
      <w:start w:val="8"/>
      <w:numFmt w:val="chineseCounting"/>
      <w:suff w:val="nothing"/>
      <w:lvlText w:val="%1、"/>
      <w:lvlJc w:val="left"/>
      <w:rPr>
        <w:rFonts w:hint="eastAsia"/>
      </w:rPr>
    </w:lvl>
  </w:abstractNum>
  <w:abstractNum w:abstractNumId="7">
    <w:nsid w:val="08100653"/>
    <w:multiLevelType w:val="multilevel"/>
    <w:tmpl w:val="08100653"/>
    <w:lvl w:ilvl="0" w:tentative="0">
      <w:start w:val="1"/>
      <w:numFmt w:val="japaneseCounting"/>
      <w:lvlText w:val="%1、"/>
      <w:lvlJc w:val="left"/>
      <w:pPr>
        <w:ind w:left="930" w:hanging="42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8">
    <w:nsid w:val="11BC0656"/>
    <w:multiLevelType w:val="multilevel"/>
    <w:tmpl w:val="11BC0656"/>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D8A65A"/>
    <w:multiLevelType w:val="singleLevel"/>
    <w:tmpl w:val="3AD8A65A"/>
    <w:lvl w:ilvl="0" w:tentative="0">
      <w:start w:val="1"/>
      <w:numFmt w:val="decimal"/>
      <w:suff w:val="nothing"/>
      <w:lvlText w:val="%1、"/>
      <w:lvlJc w:val="left"/>
    </w:lvl>
  </w:abstractNum>
  <w:abstractNum w:abstractNumId="10">
    <w:nsid w:val="3C5AE737"/>
    <w:multiLevelType w:val="singleLevel"/>
    <w:tmpl w:val="3C5AE737"/>
    <w:lvl w:ilvl="0" w:tentative="0">
      <w:start w:val="1"/>
      <w:numFmt w:val="chineseCounting"/>
      <w:suff w:val="nothing"/>
      <w:lvlText w:val="%1、"/>
      <w:lvlJc w:val="left"/>
      <w:rPr>
        <w:rFonts w:hint="eastAsia"/>
      </w:rPr>
    </w:lvl>
  </w:abstractNum>
  <w:abstractNum w:abstractNumId="11">
    <w:nsid w:val="3CC2225A"/>
    <w:multiLevelType w:val="singleLevel"/>
    <w:tmpl w:val="3CC2225A"/>
    <w:lvl w:ilvl="0" w:tentative="0">
      <w:start w:val="1"/>
      <w:numFmt w:val="decimal"/>
      <w:suff w:val="nothing"/>
      <w:lvlText w:val="%1、"/>
      <w:lvlJc w:val="left"/>
    </w:lvl>
  </w:abstractNum>
  <w:abstractNum w:abstractNumId="12">
    <w:nsid w:val="401E2C95"/>
    <w:multiLevelType w:val="singleLevel"/>
    <w:tmpl w:val="401E2C95"/>
    <w:lvl w:ilvl="0" w:tentative="0">
      <w:start w:val="1"/>
      <w:numFmt w:val="decimal"/>
      <w:lvlText w:val="%1."/>
      <w:lvlJc w:val="left"/>
      <w:pPr>
        <w:tabs>
          <w:tab w:val="left" w:pos="312"/>
        </w:tabs>
      </w:pPr>
    </w:lvl>
  </w:abstractNum>
  <w:abstractNum w:abstractNumId="13">
    <w:nsid w:val="4D2BAE1B"/>
    <w:multiLevelType w:val="singleLevel"/>
    <w:tmpl w:val="4D2BAE1B"/>
    <w:lvl w:ilvl="0" w:tentative="0">
      <w:start w:val="2"/>
      <w:numFmt w:val="decimal"/>
      <w:suff w:val="nothing"/>
      <w:lvlText w:val="(%1）"/>
      <w:lvlJc w:val="left"/>
      <w:pPr>
        <w:ind w:left="220"/>
      </w:pPr>
    </w:lvl>
  </w:abstractNum>
  <w:abstractNum w:abstractNumId="14">
    <w:nsid w:val="5C466EAF"/>
    <w:multiLevelType w:val="singleLevel"/>
    <w:tmpl w:val="5C466EAF"/>
    <w:lvl w:ilvl="0" w:tentative="0">
      <w:start w:val="3"/>
      <w:numFmt w:val="chineseCounting"/>
      <w:suff w:val="space"/>
      <w:lvlText w:val="第%1章"/>
      <w:lvlJc w:val="left"/>
      <w:rPr>
        <w:rFonts w:hint="eastAsia"/>
      </w:rPr>
    </w:lvl>
  </w:abstractNum>
  <w:abstractNum w:abstractNumId="15">
    <w:nsid w:val="730B7261"/>
    <w:multiLevelType w:val="singleLevel"/>
    <w:tmpl w:val="730B7261"/>
    <w:lvl w:ilvl="0" w:tentative="0">
      <w:start w:val="1"/>
      <w:numFmt w:val="decimal"/>
      <w:lvlText w:val="%1."/>
      <w:lvlJc w:val="left"/>
      <w:pPr>
        <w:tabs>
          <w:tab w:val="left" w:pos="312"/>
        </w:tabs>
      </w:pPr>
    </w:lvl>
  </w:abstractNum>
  <w:num w:numId="1">
    <w:abstractNumId w:val="6"/>
  </w:num>
  <w:num w:numId="2">
    <w:abstractNumId w:val="13"/>
  </w:num>
  <w:num w:numId="3">
    <w:abstractNumId w:val="14"/>
  </w:num>
  <w:num w:numId="4">
    <w:abstractNumId w:val="15"/>
  </w:num>
  <w:num w:numId="5">
    <w:abstractNumId w:val="1"/>
  </w:num>
  <w:num w:numId="6">
    <w:abstractNumId w:val="10"/>
  </w:num>
  <w:num w:numId="7">
    <w:abstractNumId w:val="4"/>
  </w:num>
  <w:num w:numId="8">
    <w:abstractNumId w:val="3"/>
  </w:num>
  <w:num w:numId="9">
    <w:abstractNumId w:val="9"/>
  </w:num>
  <w:num w:numId="10">
    <w:abstractNumId w:val="2"/>
  </w:num>
  <w:num w:numId="11">
    <w:abstractNumId w:val="11"/>
  </w:num>
  <w:num w:numId="12">
    <w:abstractNumId w:val="12"/>
  </w:num>
  <w:num w:numId="13">
    <w:abstractNumId w:val="8"/>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44D1B7A"/>
    <w:rsid w:val="067477A6"/>
    <w:rsid w:val="095F4BEE"/>
    <w:rsid w:val="09925B67"/>
    <w:rsid w:val="09FA48F2"/>
    <w:rsid w:val="0C051F9D"/>
    <w:rsid w:val="0C187A9B"/>
    <w:rsid w:val="0D404CE2"/>
    <w:rsid w:val="0DFA0815"/>
    <w:rsid w:val="0E7D7AEB"/>
    <w:rsid w:val="0EA202A5"/>
    <w:rsid w:val="0EE0577A"/>
    <w:rsid w:val="0F6A74B5"/>
    <w:rsid w:val="104C1F3D"/>
    <w:rsid w:val="10B3112B"/>
    <w:rsid w:val="117B763B"/>
    <w:rsid w:val="122B5275"/>
    <w:rsid w:val="13B66EBC"/>
    <w:rsid w:val="14B02C2D"/>
    <w:rsid w:val="14FF1CF3"/>
    <w:rsid w:val="157175BB"/>
    <w:rsid w:val="18513DF7"/>
    <w:rsid w:val="196B4E26"/>
    <w:rsid w:val="1A22147F"/>
    <w:rsid w:val="1AEA6350"/>
    <w:rsid w:val="1AF56864"/>
    <w:rsid w:val="1B617A38"/>
    <w:rsid w:val="1E0E72FD"/>
    <w:rsid w:val="20CA3D84"/>
    <w:rsid w:val="20EA208D"/>
    <w:rsid w:val="20FB3743"/>
    <w:rsid w:val="218F657F"/>
    <w:rsid w:val="219F740A"/>
    <w:rsid w:val="222D643C"/>
    <w:rsid w:val="22350895"/>
    <w:rsid w:val="226A29B1"/>
    <w:rsid w:val="23751219"/>
    <w:rsid w:val="23C65153"/>
    <w:rsid w:val="244039D2"/>
    <w:rsid w:val="260054BC"/>
    <w:rsid w:val="26F05D52"/>
    <w:rsid w:val="276A2040"/>
    <w:rsid w:val="2784085C"/>
    <w:rsid w:val="29064CA3"/>
    <w:rsid w:val="292A74D7"/>
    <w:rsid w:val="2CA76D50"/>
    <w:rsid w:val="2CAA79E2"/>
    <w:rsid w:val="2D523517"/>
    <w:rsid w:val="2DD312AE"/>
    <w:rsid w:val="2DD4430E"/>
    <w:rsid w:val="2DE2712E"/>
    <w:rsid w:val="2F7B1CF3"/>
    <w:rsid w:val="30AE270D"/>
    <w:rsid w:val="312E50A7"/>
    <w:rsid w:val="324F75ED"/>
    <w:rsid w:val="32501EA9"/>
    <w:rsid w:val="35865DDA"/>
    <w:rsid w:val="366C1531"/>
    <w:rsid w:val="36970CB4"/>
    <w:rsid w:val="36D537D0"/>
    <w:rsid w:val="372B2F10"/>
    <w:rsid w:val="375A0BDF"/>
    <w:rsid w:val="37802D6E"/>
    <w:rsid w:val="389547CE"/>
    <w:rsid w:val="39BA43D0"/>
    <w:rsid w:val="3ACB3452"/>
    <w:rsid w:val="3AF66189"/>
    <w:rsid w:val="3AF9744E"/>
    <w:rsid w:val="3BCB4FFB"/>
    <w:rsid w:val="3D8944A9"/>
    <w:rsid w:val="3EF526DA"/>
    <w:rsid w:val="42846BB9"/>
    <w:rsid w:val="445C625D"/>
    <w:rsid w:val="46F15200"/>
    <w:rsid w:val="4880042F"/>
    <w:rsid w:val="499B65BA"/>
    <w:rsid w:val="49D85971"/>
    <w:rsid w:val="4B615D78"/>
    <w:rsid w:val="4BA2134D"/>
    <w:rsid w:val="4D137B7A"/>
    <w:rsid w:val="4D853CAF"/>
    <w:rsid w:val="4DA01D7E"/>
    <w:rsid w:val="4F861D1F"/>
    <w:rsid w:val="4F9F1231"/>
    <w:rsid w:val="4FA61E23"/>
    <w:rsid w:val="50584572"/>
    <w:rsid w:val="50650889"/>
    <w:rsid w:val="51872E29"/>
    <w:rsid w:val="5415489C"/>
    <w:rsid w:val="545F1253"/>
    <w:rsid w:val="58FF0D22"/>
    <w:rsid w:val="59E93BD9"/>
    <w:rsid w:val="5A232992"/>
    <w:rsid w:val="5B7967FA"/>
    <w:rsid w:val="5BF13E71"/>
    <w:rsid w:val="5C4C58B6"/>
    <w:rsid w:val="5D07439B"/>
    <w:rsid w:val="63584EAB"/>
    <w:rsid w:val="638C2A0D"/>
    <w:rsid w:val="63EE7925"/>
    <w:rsid w:val="64CB514A"/>
    <w:rsid w:val="653E0397"/>
    <w:rsid w:val="66CD3DDA"/>
    <w:rsid w:val="67793D75"/>
    <w:rsid w:val="68C02D8E"/>
    <w:rsid w:val="69781710"/>
    <w:rsid w:val="6A164A51"/>
    <w:rsid w:val="6A1C2BCA"/>
    <w:rsid w:val="6AED7F6E"/>
    <w:rsid w:val="6AF94EE5"/>
    <w:rsid w:val="6C016562"/>
    <w:rsid w:val="6C1C71CC"/>
    <w:rsid w:val="6DA40A7D"/>
    <w:rsid w:val="6DA450F3"/>
    <w:rsid w:val="6E5E3A95"/>
    <w:rsid w:val="6F3C4381"/>
    <w:rsid w:val="6F94619D"/>
    <w:rsid w:val="6FC25A03"/>
    <w:rsid w:val="710976BD"/>
    <w:rsid w:val="71A002C5"/>
    <w:rsid w:val="721A7891"/>
    <w:rsid w:val="752A31CF"/>
    <w:rsid w:val="75C279D3"/>
    <w:rsid w:val="77C73EF5"/>
    <w:rsid w:val="79342B4C"/>
    <w:rsid w:val="7C0916EA"/>
    <w:rsid w:val="7DD15737"/>
    <w:rsid w:val="7EDF6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outlineLvl w:val="1"/>
    </w:pPr>
    <w:rPr>
      <w:rFonts w:ascii="宋体" w:hAnsi="宋体" w:eastAsia="宋体"/>
      <w:sz w:val="36"/>
      <w:szCs w:val="36"/>
    </w:rPr>
  </w:style>
  <w:style w:type="paragraph" w:styleId="2">
    <w:name w:val="heading 2"/>
    <w:basedOn w:val="1"/>
    <w:next w:val="1"/>
    <w:qFormat/>
    <w:uiPriority w:val="1"/>
    <w:pPr>
      <w:ind w:left="220"/>
      <w:outlineLvl w:val="2"/>
    </w:pPr>
    <w:rPr>
      <w:rFonts w:ascii="宋体" w:hAnsi="宋体" w:eastAsia="宋体"/>
      <w:sz w:val="32"/>
      <w:szCs w:val="32"/>
    </w:rPr>
  </w:style>
  <w:style w:type="paragraph" w:styleId="4">
    <w:name w:val="heading 3"/>
    <w:basedOn w:val="1"/>
    <w:next w:val="1"/>
    <w:qFormat/>
    <w:uiPriority w:val="1"/>
    <w:pPr>
      <w:ind w:left="129"/>
      <w:outlineLvl w:val="3"/>
    </w:pPr>
    <w:rPr>
      <w:rFonts w:ascii="宋体" w:hAnsi="宋体" w:eastAsia="宋体"/>
      <w:sz w:val="28"/>
      <w:szCs w:val="28"/>
    </w:rPr>
  </w:style>
  <w:style w:type="character" w:default="1" w:styleId="19">
    <w:name w:val="Default Paragraph Font"/>
    <w:semiHidden/>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Body Text"/>
    <w:basedOn w:val="1"/>
    <w:next w:val="1"/>
    <w:qFormat/>
    <w:uiPriority w:val="1"/>
    <w:pPr>
      <w:spacing w:before="154"/>
      <w:ind w:left="140"/>
    </w:pPr>
    <w:rPr>
      <w:rFonts w:ascii="宋体" w:hAnsi="宋体" w:eastAsia="宋体"/>
      <w:sz w:val="24"/>
      <w:szCs w:val="24"/>
    </w:rPr>
  </w:style>
  <w:style w:type="paragraph" w:styleId="7">
    <w:name w:val="Body Text Indent"/>
    <w:basedOn w:val="1"/>
    <w:qFormat/>
    <w:uiPriority w:val="0"/>
    <w:pPr>
      <w:tabs>
        <w:tab w:val="left" w:pos="945"/>
        <w:tab w:val="left" w:pos="1155"/>
      </w:tabs>
      <w:ind w:firstLine="435"/>
    </w:pPr>
    <w:rPr>
      <w:rFonts w:ascii="宋体"/>
      <w:sz w:val="24"/>
    </w:rPr>
  </w:style>
  <w:style w:type="paragraph" w:styleId="8">
    <w:name w:val="Plain Text"/>
    <w:basedOn w:val="1"/>
    <w:qFormat/>
    <w:uiPriority w:val="99"/>
    <w:rPr>
      <w:rFonts w:ascii="宋体" w:hAnsi="Courier New"/>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spacing w:before="110"/>
      <w:ind w:left="6"/>
    </w:pPr>
    <w:rPr>
      <w:rFonts w:ascii="宋体" w:hAnsi="宋体" w:eastAsia="宋体"/>
      <w:sz w:val="21"/>
      <w:szCs w:val="21"/>
    </w:rPr>
  </w:style>
  <w:style w:type="paragraph" w:styleId="12">
    <w:name w:val="toc 2"/>
    <w:basedOn w:val="1"/>
    <w:next w:val="1"/>
    <w:qFormat/>
    <w:uiPriority w:val="39"/>
    <w:pPr>
      <w:ind w:left="420" w:leftChars="200"/>
    </w:pPr>
  </w:style>
  <w:style w:type="paragraph" w:styleId="13">
    <w:name w:val="Body Text 2"/>
    <w:basedOn w:val="1"/>
    <w:qFormat/>
    <w:uiPriority w:val="0"/>
    <w:pPr>
      <w:autoSpaceDE w:val="0"/>
      <w:autoSpaceDN w:val="0"/>
      <w:adjustRightInd w:val="0"/>
      <w:spacing w:line="480" w:lineRule="exact"/>
      <w:jc w:val="left"/>
    </w:pPr>
    <w:rPr>
      <w:rFonts w:ascii="宋体" w:hAnsi="宋体"/>
      <w:color w:val="000000"/>
      <w:kern w:val="0"/>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w:basedOn w:val="6"/>
    <w:next w:val="16"/>
    <w:qFormat/>
    <w:uiPriority w:val="0"/>
    <w:pPr>
      <w:ind w:firstLine="420" w:firstLineChars="100"/>
    </w:pPr>
  </w:style>
  <w:style w:type="paragraph" w:styleId="16">
    <w:name w:val="Body Text First Indent 2"/>
    <w:basedOn w:val="7"/>
    <w:qFormat/>
    <w:uiPriority w:val="99"/>
    <w:pPr>
      <w:ind w:firstLine="420" w:firstLineChars="200"/>
    </w:pPr>
  </w:style>
  <w:style w:type="table" w:styleId="18">
    <w:name w:val="Table Grid"/>
    <w:basedOn w:val="17"/>
    <w:qFormat/>
    <w:uiPriority w:val="9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qFormat/>
    <w:uiPriority w:val="99"/>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style>
  <w:style w:type="paragraph" w:customStyle="1" w:styleId="23">
    <w:name w:val="Table Paragraph"/>
    <w:basedOn w:val="1"/>
    <w:qFormat/>
    <w:uiPriority w:val="1"/>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 Char"/>
    <w:basedOn w:val="1"/>
    <w:qFormat/>
    <w:uiPriority w:val="0"/>
    <w:pPr>
      <w:adjustRightInd w:val="0"/>
      <w:spacing w:line="360" w:lineRule="atLeast"/>
      <w:textAlignment w:val="baseline"/>
    </w:pPr>
  </w:style>
  <w:style w:type="paragraph" w:customStyle="1" w:styleId="26">
    <w:name w:val="样式 标题 2 + Times New Roman 四号 非加粗 段前: 5 磅 段后: 0 磅 行距: 固定值 20..."/>
    <w:basedOn w:val="2"/>
    <w:qFormat/>
    <w:uiPriority w:val="0"/>
    <w:pPr>
      <w:spacing w:before="100" w:beforeLines="0" w:after="0" w:afterLines="0" w:line="400" w:lineRule="exact"/>
    </w:pPr>
    <w:rPr>
      <w:rFonts w:ascii="Times New Roman" w:hAnsi="Times New Roman" w:cs="宋体"/>
      <w:sz w:val="28"/>
      <w:szCs w:val="20"/>
    </w:rPr>
  </w:style>
  <w:style w:type="paragraph" w:customStyle="1" w:styleId="27">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28">
    <w:name w:val="样式 标题 3 + (中文) 黑体 小四 非加粗 段前: 7.8 磅 段后: 0 磅 行距: 固定值 20 磅"/>
    <w:basedOn w:val="4"/>
    <w:qFormat/>
    <w:uiPriority w:val="0"/>
    <w:pPr>
      <w:spacing w:before="0" w:beforeLines="0" w:after="0" w:afterLines="0" w:line="400" w:lineRule="exact"/>
    </w:pPr>
    <w:rPr>
      <w:rFonts w:eastAsia="黑体" w:cs="宋体"/>
      <w:sz w:val="24"/>
      <w:szCs w:val="20"/>
    </w:rPr>
  </w:style>
  <w:style w:type="character" w:customStyle="1" w:styleId="29">
    <w:name w:val="font21"/>
    <w:basedOn w:val="19"/>
    <w:qFormat/>
    <w:uiPriority w:val="0"/>
    <w:rPr>
      <w:rFonts w:hint="eastAsia" w:ascii="宋体" w:hAnsi="宋体" w:eastAsia="宋体" w:cs="宋体"/>
      <w:b/>
      <w:bCs/>
      <w:color w:val="FF0000"/>
      <w:sz w:val="24"/>
      <w:szCs w:val="24"/>
      <w:u w:val="none"/>
    </w:rPr>
  </w:style>
  <w:style w:type="character" w:customStyle="1" w:styleId="30">
    <w:name w:val="font11"/>
    <w:basedOn w:val="19"/>
    <w:qFormat/>
    <w:uiPriority w:val="0"/>
    <w:rPr>
      <w:rFonts w:hint="eastAsia" w:ascii="宋体" w:hAnsi="宋体" w:eastAsia="宋体" w:cs="宋体"/>
      <w:b/>
      <w:bCs/>
      <w:color w:val="000000"/>
      <w:sz w:val="24"/>
      <w:szCs w:val="24"/>
      <w:u w:val="none"/>
    </w:rPr>
  </w:style>
  <w:style w:type="paragraph" w:styleId="31">
    <w:name w:val="No Spacing"/>
    <w:qFormat/>
    <w:uiPriority w:val="1"/>
    <w:pPr>
      <w:jc w:val="both"/>
    </w:pPr>
    <w:rPr>
      <w:rFonts w:ascii="Times New Roman" w:hAnsi="Times New Roman" w:eastAsia="宋体" w:cs="Times New Roman"/>
      <w:kern w:val="2"/>
      <w:sz w:val="21"/>
      <w:szCs w:val="24"/>
      <w:lang w:val="en-US" w:eastAsia="zh-CN" w:bidi="ar-SA"/>
    </w:rPr>
  </w:style>
  <w:style w:type="character" w:customStyle="1" w:styleId="32">
    <w:name w:val="font01"/>
    <w:basedOn w:val="19"/>
    <w:qFormat/>
    <w:uiPriority w:val="0"/>
    <w:rPr>
      <w:rFonts w:hint="eastAsia" w:ascii="宋体" w:hAnsi="宋体" w:eastAsia="宋体" w:cs="宋体"/>
      <w:color w:val="000000"/>
      <w:sz w:val="28"/>
      <w:szCs w:val="28"/>
      <w:u w:val="none"/>
    </w:rPr>
  </w:style>
  <w:style w:type="character" w:customStyle="1" w:styleId="33">
    <w:name w:val="font81"/>
    <w:basedOn w:val="19"/>
    <w:qFormat/>
    <w:uiPriority w:val="0"/>
    <w:rPr>
      <w:rFonts w:hint="eastAsia" w:ascii="宋体" w:hAnsi="宋体" w:eastAsia="宋体" w:cs="宋体"/>
      <w:color w:val="000000"/>
      <w:sz w:val="28"/>
      <w:szCs w:val="2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101" textRotate="1"/>
    <customShpInfo spid="_x0000_s2102" textRotate="1"/>
    <customShpInfo spid="_x0000_s2103" textRotate="1"/>
    <customShpInfo spid="_x0000_s2104" textRotate="1"/>
    <customShpInfo spid="_x0000_s2105" textRotate="1"/>
    <customShpInfo spid="_x0000_s2106" textRotate="1"/>
    <customShpInfo spid="_x0000_s2107" textRotate="1"/>
    <customShpInfo spid="_x0000_s2086"/>
    <customShpInfo spid="_x0000_s2085"/>
    <customShpInfo spid="_x0000_s2108" textRotate="1"/>
    <customShpInfo spid="_x0000_s10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2021-07-06T17:41:00Z</dcterms:created>
  <dc:creator>微软用户</dc:creator>
  <cp:lastModifiedBy>鱼</cp:lastModifiedBy>
  <cp:lastPrinted>2021-07-13T01:24:00Z</cp:lastPrinted>
  <dcterms:modified xsi:type="dcterms:W3CDTF">2021-07-29T08:20:26Z</dcterms:modified>
  <dc:title>附件二：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WPS 文字</vt:lpwstr>
  </property>
  <property fmtid="{D5CDD505-2E9C-101B-9397-08002B2CF9AE}" pid="4" name="LastSaved">
    <vt:filetime>2021-07-06T00:00:00Z</vt:filetime>
  </property>
  <property fmtid="{D5CDD505-2E9C-101B-9397-08002B2CF9AE}" pid="5" name="KSOProductBuildVer">
    <vt:lpwstr>2052-11.1.0.10667</vt:lpwstr>
  </property>
  <property fmtid="{D5CDD505-2E9C-101B-9397-08002B2CF9AE}" pid="6" name="ICV">
    <vt:lpwstr>34C0A913BF954FDF845C0CE9425BF070</vt:lpwstr>
  </property>
</Properties>
</file>