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0"/>
          <w:szCs w:val="40"/>
          <w:u w:val="none" w:color="auto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u w:val="none" w:color="auto"/>
        </w:rPr>
        <w:t>竞 买 须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6"/>
          <w:szCs w:val="36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一、标的展示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（参加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会的自然人或公司）可以自行或在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河南豫财拍卖有限公司（以下简称我公司）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的统一组织下对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标的进行实地勘察、咨询、了解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标的物及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活动的详细情况。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一经办理竞买手续，参加竞价，即视为已完全了解有关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活动的全部内容，认可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标的现状，并应承担参加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所产生的一切法律责任。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2、依据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关法律规定，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将按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标的展示现状进行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，对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标的不负任何品质瑕疵担保责任。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在竞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价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前须认真考察，充分了解有关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标的瑕疵状况等事项，成交之后不得再以此为由提出任何异议。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标的资料是对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标的的一般性介绍。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或其代理人对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标的任何方式（包括网站、微信、印刷、图像、资料、新闻媒体等）所作的介绍及评价，均为参考性意见，不构成对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标的的任何担保。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2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采取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网络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增价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的方式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凡具备完全民事行为能力和支付能力的公民、法人和其他组织均可参加竞买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法律法规、规章规定不能参加竞买的除外。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-20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四、竞买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有意参与的意向方须于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29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17时前（以实际到账为准）向中牟县公共资源交易中心自动生成的指定银行账户转账交纳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规定数额的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竞买保证金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(标的1: 50万元，标的2: 50万元，标的3：3万元，标的4：5万，标的5: 5万）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，而后持身份证原件（公司参加竞买持被授权人身份证、机构营业执照、授权委托书）到我公司办理竞买登记手续，认同竞买须知、签署承诺书。若竞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买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不成功，竞买保证金于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结束后由中牟县公共资源交易中心全额无息原路退还。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2、意向方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可以随时进入平台修改密码，凡以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的帐号和密码登陆后进行的操作，均被视为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的行为，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应当对以其帐号进行的所有活动和事件负法律责任。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不应将其帐号、密码转让或出借予他人/组织使用。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发现其帐号遭他人非法使用，应立即通知我公司。因黑客行为或用户故意或者过失导致帐号、密码遭他人非法使用，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是经法定公告期和展示期后才举行的，请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竞价开始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前实地踏勘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标的，调查是否存在瑕疵，认真研究查看所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标的物的实际情况，未实地踏勘的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视为对本标的实物现状的确认，慎重决定竞买行为，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一旦做出竞买决定，即表明已完全了解，并接受标的物的现状和一切已知及未知的瑕疵。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买受人在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成交后，</w:t>
      </w:r>
      <w:r>
        <w:rPr>
          <w:rFonts w:hint="eastAsia" w:ascii="仿宋" w:hAnsi="仿宋" w:eastAsia="仿宋" w:cs="仿宋"/>
          <w:sz w:val="30"/>
          <w:szCs w:val="30"/>
          <w:u w:val="none" w:color="auto"/>
        </w:rPr>
        <w:t>需</w:t>
      </w:r>
      <w:r>
        <w:rPr>
          <w:rFonts w:hint="eastAsia" w:ascii="仿宋" w:hAnsi="仿宋" w:eastAsia="仿宋" w:cs="仿宋"/>
          <w:sz w:val="30"/>
          <w:szCs w:val="30"/>
          <w:u w:val="none" w:color="auto"/>
          <w:lang w:val="en-US" w:eastAsia="zh-CN"/>
        </w:rPr>
        <w:t>向我公司</w:t>
      </w:r>
      <w:r>
        <w:rPr>
          <w:rFonts w:hint="eastAsia" w:ascii="仿宋" w:hAnsi="仿宋" w:eastAsia="仿宋" w:cs="仿宋"/>
          <w:sz w:val="30"/>
          <w:szCs w:val="30"/>
          <w:u w:val="none" w:color="auto"/>
        </w:rPr>
        <w:t>另行支付</w:t>
      </w:r>
      <w:r>
        <w:rPr>
          <w:rFonts w:hint="eastAsia" w:ascii="仿宋" w:hAnsi="仿宋" w:eastAsia="仿宋" w:cs="仿宋"/>
          <w:sz w:val="30"/>
          <w:szCs w:val="30"/>
          <w:u w:val="none" w:color="auto"/>
          <w:lang w:val="en-US" w:eastAsia="zh-CN"/>
        </w:rPr>
        <w:t>成交额百分之五</w:t>
      </w:r>
      <w:r>
        <w:rPr>
          <w:rFonts w:hint="eastAsia" w:ascii="仿宋" w:hAnsi="仿宋" w:eastAsia="仿宋" w:cs="仿宋"/>
          <w:sz w:val="30"/>
          <w:szCs w:val="30"/>
          <w:u w:val="none" w:color="auto"/>
        </w:rPr>
        <w:t>的</w:t>
      </w:r>
      <w:r>
        <w:rPr>
          <w:rFonts w:hint="eastAsia" w:ascii="仿宋" w:hAnsi="仿宋" w:eastAsia="仿宋" w:cs="仿宋"/>
          <w:sz w:val="30"/>
          <w:szCs w:val="30"/>
          <w:u w:val="none" w:color="auto"/>
          <w:lang w:val="en-US" w:eastAsia="zh-CN"/>
        </w:rPr>
        <w:t>拍卖</w:t>
      </w:r>
      <w:r>
        <w:rPr>
          <w:rFonts w:hint="eastAsia" w:ascii="仿宋" w:hAnsi="仿宋" w:eastAsia="仿宋" w:cs="仿宋"/>
          <w:sz w:val="30"/>
          <w:szCs w:val="30"/>
          <w:u w:val="none" w:color="auto"/>
        </w:rPr>
        <w:t>佣金</w:t>
      </w:r>
      <w:r>
        <w:rPr>
          <w:rFonts w:hint="eastAsia" w:ascii="仿宋" w:hAnsi="仿宋" w:eastAsia="仿宋" w:cs="仿宋"/>
          <w:sz w:val="30"/>
          <w:szCs w:val="30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成功竞得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标的买受人，须在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网上挂牌成交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后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2个工作日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与我公司签署书面《成交确认书》。买受人拒绝签署《成交确认书》属于违约，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我公司将没收竞买保证金不予退还，并保留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追究买受人的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法律及经济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成交后，买受人须于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17时前（以实际到账为准）将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租赁保证金、拍卖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佣金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缴入我公司指定账户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（户名：河南豫财拍卖有限公司、开户行：光大银行郑州文化路支行、账号：77160188000194035 ），买受人付清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全部款项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后，中牟县公共资源交易中心退还原交纳的竞买保证金，否则按违约处理。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eastAsia="zh-CN"/>
        </w:rPr>
        <w:t>其他款项依照《租赁合同》规定缴纳。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买受人逾期未支付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佣金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  <w:u w:val="none" w:color="auto"/>
        </w:rPr>
        <w:t>综合服务费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或有其他违约行为，无权要求返还竞买保证金，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并根据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《中华人民共和国拍卖法》第三十九条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四十条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的规定，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征得委托人的同意，将标的再行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的，原买受人应支付第一次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中本人及委托人应当支付的佣金，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的诉讼费等相关费用。再行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的价款低于原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价款的，原买受人应当补足差额。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标的交割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过户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买受人在付清全部价款之日起三个工作日内凭《拍卖成交确认书》、交款凭证等相关手续与委托人签订《租赁合同》并进行实物交割。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由于买受人原因逾期未能签订《租赁合同》或者进行实物交割所造成的一切后果及损失由买受人承担。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特别声明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1、 网络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交易活动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由自由竞价阶段和限时竞价阶段组成。在自由竞价阶段，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可以在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价的基础上进行自由报价，限时竞价阶段是在自由竞价产生最高报价的基础上进行的。在限时竞价阶段，当其他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有更高报价时，将同时产生新的倒计时竞价时间，直至最后一个限时报价阶段没有更高报价为止，当前报价最高的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即为买受人，该标的的竞价结束。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开始前，由于委托方要求或其他方面的原因，致使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不能进行，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有权中止或终止此次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活动，并于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中止或终止后由中牟县公共资源交易中心全额无息退回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已交纳的竞买保证金，不再承担其他方面的责任和损失。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3、本次挂牌仅对租赁期内第一年租赁权费用进行交易，租赁相关事项以《租赁合同》内容为准。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4、挂牌资料中记载的信息、数据仅作参考，如有偏差，以实际为准，不再多退少补，我公司不承担相关责任。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4" w:firstLineChars="208"/>
        <w:textAlignment w:val="baseline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5、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  <w:t>主楼4--12层、13--21层办公楼特别说明：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textAlignment w:val="baseline"/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拍卖成交后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委托方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买受人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签署《租赁合同》并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办理实物交割；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）为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</w:rPr>
        <w:t>促进中牟县战略新兴产业优化升级，提高地区科技创新能力，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  <w:t>委托方为买受人提供自具备交付条件（装修完毕、家具进场，双方确认后）之日起三年的免租期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买受人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每半年支付一次房屋租赁费（先交后用）；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房屋租赁费每三年递增5%；（5）买受人负责租赁期间水电费用，免租期内物业管理费免收，免租期后买受人按照物业公司收费标准按期交纳物业管理费；（6）买受人须交纳75万元的租赁保证金（每个标的）；（7）委托方为买受人各提供5个免费地下停车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4" w:firstLineChars="208"/>
        <w:textAlignment w:val="baseline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  <w:t>主楼1层配套商业特别说明：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4" w:firstLineChars="208"/>
        <w:textAlignment w:val="baseline"/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拍卖成交后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委托方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买受人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签署《租赁合同》并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办理实物交割；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（2）委托方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  <w:t>为买受人提供自具备交付条件（双方确认后）之日起六个月的免租期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买受人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每年支付一次房屋租赁费（先交后用）；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房屋租赁费每三年递增5%；（5）买受人负责租赁期间水电费用，免租期内物业管理费免收，免租期后买受人按照物业公司收费标准按期交纳物业管理费；（7）买受人须交纳两万元的租赁保证金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4" w:firstLineChars="208"/>
        <w:textAlignment w:val="baseline"/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  <w:t>餐厅一层、二层特别说明：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4" w:firstLineChars="208"/>
        <w:textAlignment w:val="baseline"/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拍卖成交后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委托方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买受人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签署《租赁合同》并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办理实物交割；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  <w:t>委托方为买受人提供自具备交付条件（装修完毕、家具进场，双方确认后）之日起六个月的免租期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买受人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每年支付一次房屋租赁费（先交后用）；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房屋租赁费每三年递增5%；（5）买受人负责租赁期间水电费用，免租期内物业管理费免收，免租期后买受人按照物业公司收费标准按期交纳物业管理费；（6）买受人须交纳每个标的10万元的租赁保证金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"/>
          <w:color w:val="auto"/>
          <w:sz w:val="30"/>
          <w:szCs w:val="30"/>
          <w:u w:val="none" w:color="auto"/>
          <w:lang w:val="en-US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  <w:t>主楼1层配套商业，餐厅一层、二层《租赁合同》参考主楼4-12层《租赁合同》样本执行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7、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请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仔细阅读《竞买须知》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u w:val="none" w:color="auto"/>
          <w:lang w:val="en-US" w:eastAsia="zh-CN"/>
        </w:rPr>
        <w:t>《租赁合同》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中的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>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 xml:space="preserve">河南豫财拍卖有限公司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yellow"/>
          <w:u w:val="none"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  <w:t xml:space="preserve">                             </w:t>
      </w:r>
      <w:r>
        <w:rPr>
          <w:rFonts w:hint="eastAsia" w:ascii="仿宋" w:hAnsi="仿宋" w:eastAsia="仿宋" w:cs="仿宋"/>
          <w:color w:val="0000FF"/>
          <w:sz w:val="30"/>
          <w:szCs w:val="30"/>
          <w:u w:val="none" w:color="auto"/>
        </w:rPr>
        <w:t xml:space="preserve">   </w:t>
      </w:r>
      <w:r>
        <w:rPr>
          <w:rFonts w:hint="eastAsia" w:ascii="仿宋" w:hAnsi="仿宋" w:eastAsia="仿宋" w:cs="仿宋"/>
          <w:color w:val="0000FF"/>
          <w:sz w:val="30"/>
          <w:szCs w:val="30"/>
          <w:u w:val="none" w:color="auto"/>
          <w:lang w:val="en-US" w:eastAsia="zh-CN"/>
        </w:rPr>
        <w:t xml:space="preserve">      </w:t>
      </w:r>
      <w:bookmarkStart w:id="0" w:name="_GoBack"/>
      <w:r>
        <w:rPr>
          <w:rFonts w:hint="eastAsia" w:ascii="仿宋" w:hAnsi="仿宋" w:eastAsia="仿宋" w:cs="仿宋"/>
          <w:color w:val="0000FF"/>
          <w:sz w:val="30"/>
          <w:szCs w:val="30"/>
          <w:highlight w:val="none"/>
          <w:u w:val="non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 w:color="auto"/>
        </w:rPr>
        <w:t>日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none" w:color="auto"/>
        </w:rPr>
      </w:pPr>
    </w:p>
    <w:sectPr>
      <w:pgSz w:w="11906" w:h="16838"/>
      <w:pgMar w:top="1383" w:right="1304" w:bottom="1383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6E5EF"/>
    <w:multiLevelType w:val="singleLevel"/>
    <w:tmpl w:val="A3C6E5E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2CD3"/>
    <w:rsid w:val="00192796"/>
    <w:rsid w:val="00A23DAC"/>
    <w:rsid w:val="01144EDF"/>
    <w:rsid w:val="01466876"/>
    <w:rsid w:val="01884B86"/>
    <w:rsid w:val="01D878A2"/>
    <w:rsid w:val="03202A8F"/>
    <w:rsid w:val="03984972"/>
    <w:rsid w:val="03E459CD"/>
    <w:rsid w:val="045812CB"/>
    <w:rsid w:val="051411A3"/>
    <w:rsid w:val="057F415D"/>
    <w:rsid w:val="05982CAC"/>
    <w:rsid w:val="062739D0"/>
    <w:rsid w:val="062C0935"/>
    <w:rsid w:val="06305265"/>
    <w:rsid w:val="064A6E43"/>
    <w:rsid w:val="066B6A39"/>
    <w:rsid w:val="06A91242"/>
    <w:rsid w:val="07662B0D"/>
    <w:rsid w:val="07A14D14"/>
    <w:rsid w:val="07AF648A"/>
    <w:rsid w:val="07B3623D"/>
    <w:rsid w:val="07B96808"/>
    <w:rsid w:val="085370DF"/>
    <w:rsid w:val="0856597F"/>
    <w:rsid w:val="086B7991"/>
    <w:rsid w:val="0890733E"/>
    <w:rsid w:val="08A87159"/>
    <w:rsid w:val="08BF6BF5"/>
    <w:rsid w:val="094B2F7A"/>
    <w:rsid w:val="09C85884"/>
    <w:rsid w:val="0A420A65"/>
    <w:rsid w:val="0A461858"/>
    <w:rsid w:val="0A787F63"/>
    <w:rsid w:val="0A9515BC"/>
    <w:rsid w:val="0C113F22"/>
    <w:rsid w:val="0C301609"/>
    <w:rsid w:val="0D2E3712"/>
    <w:rsid w:val="0D324D16"/>
    <w:rsid w:val="0D8C52FF"/>
    <w:rsid w:val="0DE55F49"/>
    <w:rsid w:val="0EB564C7"/>
    <w:rsid w:val="0EBC4A56"/>
    <w:rsid w:val="0F0B3497"/>
    <w:rsid w:val="0F5A681D"/>
    <w:rsid w:val="100E4A3B"/>
    <w:rsid w:val="10555B9F"/>
    <w:rsid w:val="105706B4"/>
    <w:rsid w:val="1070566D"/>
    <w:rsid w:val="109C5410"/>
    <w:rsid w:val="10C40EED"/>
    <w:rsid w:val="116D4508"/>
    <w:rsid w:val="117A1AF5"/>
    <w:rsid w:val="118A584D"/>
    <w:rsid w:val="11DC50B0"/>
    <w:rsid w:val="12863A59"/>
    <w:rsid w:val="12EB71F9"/>
    <w:rsid w:val="13265B95"/>
    <w:rsid w:val="13311EFC"/>
    <w:rsid w:val="13675C17"/>
    <w:rsid w:val="13C615B2"/>
    <w:rsid w:val="145028F4"/>
    <w:rsid w:val="1480678C"/>
    <w:rsid w:val="15BB719B"/>
    <w:rsid w:val="17AF6DB7"/>
    <w:rsid w:val="17F74CCE"/>
    <w:rsid w:val="181C022C"/>
    <w:rsid w:val="18C60E78"/>
    <w:rsid w:val="18D11216"/>
    <w:rsid w:val="18E21FDA"/>
    <w:rsid w:val="18E3659D"/>
    <w:rsid w:val="1948154F"/>
    <w:rsid w:val="195F31CC"/>
    <w:rsid w:val="196B0943"/>
    <w:rsid w:val="19CF7145"/>
    <w:rsid w:val="19E733F7"/>
    <w:rsid w:val="19F33D62"/>
    <w:rsid w:val="1A312258"/>
    <w:rsid w:val="1A4D25BC"/>
    <w:rsid w:val="1AD45275"/>
    <w:rsid w:val="1B6221D1"/>
    <w:rsid w:val="1CC75036"/>
    <w:rsid w:val="1D1035C1"/>
    <w:rsid w:val="1D7D09E4"/>
    <w:rsid w:val="1E2335FC"/>
    <w:rsid w:val="1E8F71D6"/>
    <w:rsid w:val="1EAA3567"/>
    <w:rsid w:val="1EFE23FD"/>
    <w:rsid w:val="1FB611D7"/>
    <w:rsid w:val="1FC2143B"/>
    <w:rsid w:val="1FEA346A"/>
    <w:rsid w:val="1FED0E6B"/>
    <w:rsid w:val="200B757D"/>
    <w:rsid w:val="2012067B"/>
    <w:rsid w:val="2147446E"/>
    <w:rsid w:val="219D3621"/>
    <w:rsid w:val="21D41FB8"/>
    <w:rsid w:val="21F8021F"/>
    <w:rsid w:val="22001077"/>
    <w:rsid w:val="229D5F79"/>
    <w:rsid w:val="239371C0"/>
    <w:rsid w:val="23EF60FF"/>
    <w:rsid w:val="24196211"/>
    <w:rsid w:val="246F022A"/>
    <w:rsid w:val="24ED707D"/>
    <w:rsid w:val="24F46907"/>
    <w:rsid w:val="259354E0"/>
    <w:rsid w:val="25C61013"/>
    <w:rsid w:val="2603647D"/>
    <w:rsid w:val="26590564"/>
    <w:rsid w:val="26866560"/>
    <w:rsid w:val="272F14E6"/>
    <w:rsid w:val="273E028F"/>
    <w:rsid w:val="27861E3A"/>
    <w:rsid w:val="27D1673F"/>
    <w:rsid w:val="27DC28A8"/>
    <w:rsid w:val="281F753C"/>
    <w:rsid w:val="285B638D"/>
    <w:rsid w:val="28B928DC"/>
    <w:rsid w:val="29222754"/>
    <w:rsid w:val="297430F3"/>
    <w:rsid w:val="29EE6511"/>
    <w:rsid w:val="29F63D2E"/>
    <w:rsid w:val="2A1906EE"/>
    <w:rsid w:val="2A233535"/>
    <w:rsid w:val="2A415DB3"/>
    <w:rsid w:val="2A5B350F"/>
    <w:rsid w:val="2A785DD3"/>
    <w:rsid w:val="2C102362"/>
    <w:rsid w:val="2C8F6480"/>
    <w:rsid w:val="2D006A08"/>
    <w:rsid w:val="2D1B19EF"/>
    <w:rsid w:val="2D2C45BB"/>
    <w:rsid w:val="2D6D5AAC"/>
    <w:rsid w:val="2D9C3096"/>
    <w:rsid w:val="2EF01410"/>
    <w:rsid w:val="2F0E4775"/>
    <w:rsid w:val="2F3454DA"/>
    <w:rsid w:val="2FA46CEF"/>
    <w:rsid w:val="30334333"/>
    <w:rsid w:val="30B97FFE"/>
    <w:rsid w:val="317E65D0"/>
    <w:rsid w:val="31AD426E"/>
    <w:rsid w:val="320B6EB5"/>
    <w:rsid w:val="328263FC"/>
    <w:rsid w:val="32CE7ED2"/>
    <w:rsid w:val="336A7BCB"/>
    <w:rsid w:val="337128ED"/>
    <w:rsid w:val="337E274A"/>
    <w:rsid w:val="33C1458C"/>
    <w:rsid w:val="33E53D46"/>
    <w:rsid w:val="33E75380"/>
    <w:rsid w:val="34050605"/>
    <w:rsid w:val="34323885"/>
    <w:rsid w:val="34524D85"/>
    <w:rsid w:val="345607F6"/>
    <w:rsid w:val="34A112E9"/>
    <w:rsid w:val="359429BE"/>
    <w:rsid w:val="35EC33A7"/>
    <w:rsid w:val="36141CEB"/>
    <w:rsid w:val="361A1E3C"/>
    <w:rsid w:val="36387928"/>
    <w:rsid w:val="36712333"/>
    <w:rsid w:val="36E951AF"/>
    <w:rsid w:val="374B73DD"/>
    <w:rsid w:val="383F1D5C"/>
    <w:rsid w:val="38565E1D"/>
    <w:rsid w:val="38CE4707"/>
    <w:rsid w:val="396B691F"/>
    <w:rsid w:val="39953313"/>
    <w:rsid w:val="39CF1D7A"/>
    <w:rsid w:val="3AC77E48"/>
    <w:rsid w:val="3ACE1BF6"/>
    <w:rsid w:val="3B593A44"/>
    <w:rsid w:val="3B9A0D8F"/>
    <w:rsid w:val="3BA73C48"/>
    <w:rsid w:val="3BC26AE0"/>
    <w:rsid w:val="3BC427C3"/>
    <w:rsid w:val="3BD2123B"/>
    <w:rsid w:val="3C2127D3"/>
    <w:rsid w:val="3C4815B3"/>
    <w:rsid w:val="3C635E38"/>
    <w:rsid w:val="3CB562D3"/>
    <w:rsid w:val="3D0645DC"/>
    <w:rsid w:val="3D071510"/>
    <w:rsid w:val="3D341ACE"/>
    <w:rsid w:val="3D9B6361"/>
    <w:rsid w:val="3DF155DB"/>
    <w:rsid w:val="3E174A9C"/>
    <w:rsid w:val="405448C4"/>
    <w:rsid w:val="406346A0"/>
    <w:rsid w:val="406C24CC"/>
    <w:rsid w:val="40B9295F"/>
    <w:rsid w:val="40C62B76"/>
    <w:rsid w:val="40E7757C"/>
    <w:rsid w:val="41780A53"/>
    <w:rsid w:val="41BF0C00"/>
    <w:rsid w:val="41CE1F60"/>
    <w:rsid w:val="41FF48E0"/>
    <w:rsid w:val="420A759E"/>
    <w:rsid w:val="42E71D47"/>
    <w:rsid w:val="43171581"/>
    <w:rsid w:val="44961A0C"/>
    <w:rsid w:val="44D329F1"/>
    <w:rsid w:val="44D35899"/>
    <w:rsid w:val="454C44CB"/>
    <w:rsid w:val="455E7FA3"/>
    <w:rsid w:val="459129E7"/>
    <w:rsid w:val="45D74E69"/>
    <w:rsid w:val="45FA43E3"/>
    <w:rsid w:val="4648436E"/>
    <w:rsid w:val="46574166"/>
    <w:rsid w:val="46776705"/>
    <w:rsid w:val="46837289"/>
    <w:rsid w:val="46AD1A05"/>
    <w:rsid w:val="46B02EC3"/>
    <w:rsid w:val="46C80729"/>
    <w:rsid w:val="47A04E7E"/>
    <w:rsid w:val="47E216B1"/>
    <w:rsid w:val="47E36706"/>
    <w:rsid w:val="48A51146"/>
    <w:rsid w:val="4949453E"/>
    <w:rsid w:val="4982077C"/>
    <w:rsid w:val="4A09746D"/>
    <w:rsid w:val="4A0E3D88"/>
    <w:rsid w:val="4A494374"/>
    <w:rsid w:val="4A527420"/>
    <w:rsid w:val="4A7E2A7D"/>
    <w:rsid w:val="4B7D4B8F"/>
    <w:rsid w:val="4C1F4D1A"/>
    <w:rsid w:val="4C396ACF"/>
    <w:rsid w:val="4C503DA3"/>
    <w:rsid w:val="4CD1623C"/>
    <w:rsid w:val="4EB23EBC"/>
    <w:rsid w:val="4ECC1C56"/>
    <w:rsid w:val="4FA828FB"/>
    <w:rsid w:val="503E31C9"/>
    <w:rsid w:val="508E43E0"/>
    <w:rsid w:val="50FD06F2"/>
    <w:rsid w:val="51696004"/>
    <w:rsid w:val="53325CE9"/>
    <w:rsid w:val="537D037A"/>
    <w:rsid w:val="53A44459"/>
    <w:rsid w:val="55AD6BCB"/>
    <w:rsid w:val="561063B0"/>
    <w:rsid w:val="563A03E5"/>
    <w:rsid w:val="567911A9"/>
    <w:rsid w:val="56C20061"/>
    <w:rsid w:val="571662DA"/>
    <w:rsid w:val="57456EB5"/>
    <w:rsid w:val="57847B4E"/>
    <w:rsid w:val="57F1797C"/>
    <w:rsid w:val="58B849C2"/>
    <w:rsid w:val="593B18AE"/>
    <w:rsid w:val="5964566F"/>
    <w:rsid w:val="59870A4B"/>
    <w:rsid w:val="59D83866"/>
    <w:rsid w:val="59F55732"/>
    <w:rsid w:val="5A085C6D"/>
    <w:rsid w:val="5A9B319F"/>
    <w:rsid w:val="5AF03F72"/>
    <w:rsid w:val="5B151900"/>
    <w:rsid w:val="5B1D3B47"/>
    <w:rsid w:val="5B932DE8"/>
    <w:rsid w:val="5C10320E"/>
    <w:rsid w:val="5C1E75C1"/>
    <w:rsid w:val="5C5B5F4B"/>
    <w:rsid w:val="5C610C38"/>
    <w:rsid w:val="5CC658A6"/>
    <w:rsid w:val="5CD23913"/>
    <w:rsid w:val="5D74534D"/>
    <w:rsid w:val="5D9C1FB7"/>
    <w:rsid w:val="5DE541CA"/>
    <w:rsid w:val="5E08391C"/>
    <w:rsid w:val="5EC55DCA"/>
    <w:rsid w:val="5FC672DB"/>
    <w:rsid w:val="608F7732"/>
    <w:rsid w:val="60CB6DD7"/>
    <w:rsid w:val="60E77213"/>
    <w:rsid w:val="6158017F"/>
    <w:rsid w:val="615E4F62"/>
    <w:rsid w:val="6177302F"/>
    <w:rsid w:val="61927908"/>
    <w:rsid w:val="61D90CD2"/>
    <w:rsid w:val="62115448"/>
    <w:rsid w:val="621F5F05"/>
    <w:rsid w:val="628272FE"/>
    <w:rsid w:val="629A34C2"/>
    <w:rsid w:val="62AE13F9"/>
    <w:rsid w:val="62E071BE"/>
    <w:rsid w:val="640839EC"/>
    <w:rsid w:val="646D5F32"/>
    <w:rsid w:val="649A2F2E"/>
    <w:rsid w:val="64AD7E3D"/>
    <w:rsid w:val="64F93663"/>
    <w:rsid w:val="650C5540"/>
    <w:rsid w:val="658037F3"/>
    <w:rsid w:val="658F7190"/>
    <w:rsid w:val="65A74341"/>
    <w:rsid w:val="65AD6521"/>
    <w:rsid w:val="662576BB"/>
    <w:rsid w:val="66301870"/>
    <w:rsid w:val="66943F82"/>
    <w:rsid w:val="67250756"/>
    <w:rsid w:val="674C64B3"/>
    <w:rsid w:val="6793367B"/>
    <w:rsid w:val="683455FA"/>
    <w:rsid w:val="68F6779C"/>
    <w:rsid w:val="697C1FE0"/>
    <w:rsid w:val="69CC5031"/>
    <w:rsid w:val="69ED51F3"/>
    <w:rsid w:val="69FF03C9"/>
    <w:rsid w:val="6A2A1927"/>
    <w:rsid w:val="6A2B0A4E"/>
    <w:rsid w:val="6A4C344E"/>
    <w:rsid w:val="6AAD5BF1"/>
    <w:rsid w:val="6ACC5B46"/>
    <w:rsid w:val="6B64044C"/>
    <w:rsid w:val="6B6A2CD3"/>
    <w:rsid w:val="6B835E41"/>
    <w:rsid w:val="6BC54890"/>
    <w:rsid w:val="6CB87E84"/>
    <w:rsid w:val="6CBB7846"/>
    <w:rsid w:val="6D2937CD"/>
    <w:rsid w:val="6D341D62"/>
    <w:rsid w:val="6DAE0E03"/>
    <w:rsid w:val="6EE5638E"/>
    <w:rsid w:val="6F011E11"/>
    <w:rsid w:val="6F711096"/>
    <w:rsid w:val="702A662B"/>
    <w:rsid w:val="7117786F"/>
    <w:rsid w:val="712A2AA7"/>
    <w:rsid w:val="715540F3"/>
    <w:rsid w:val="71E6760E"/>
    <w:rsid w:val="72997D44"/>
    <w:rsid w:val="72BE5626"/>
    <w:rsid w:val="734A73A6"/>
    <w:rsid w:val="73C21A18"/>
    <w:rsid w:val="73E813E9"/>
    <w:rsid w:val="743E0D34"/>
    <w:rsid w:val="74547C01"/>
    <w:rsid w:val="74F44106"/>
    <w:rsid w:val="751129F3"/>
    <w:rsid w:val="75A708AD"/>
    <w:rsid w:val="7618616E"/>
    <w:rsid w:val="765C734A"/>
    <w:rsid w:val="7692582D"/>
    <w:rsid w:val="76DA3FF7"/>
    <w:rsid w:val="770A7521"/>
    <w:rsid w:val="772378F5"/>
    <w:rsid w:val="77B129D8"/>
    <w:rsid w:val="7802625E"/>
    <w:rsid w:val="78E462D4"/>
    <w:rsid w:val="7911059B"/>
    <w:rsid w:val="79B172C3"/>
    <w:rsid w:val="7A7645AD"/>
    <w:rsid w:val="7B345FC5"/>
    <w:rsid w:val="7B51207C"/>
    <w:rsid w:val="7BF93F63"/>
    <w:rsid w:val="7CB75BCD"/>
    <w:rsid w:val="7CC27A89"/>
    <w:rsid w:val="7CFC2F72"/>
    <w:rsid w:val="7D1423CA"/>
    <w:rsid w:val="7F6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single" w:color="BDBEC1" w:sz="2" w:space="0"/>
      <w:shd w:val="clear" w:fill="FFFFFF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2020-09-01T05:58:00Z</dcterms:created>
  <dc:creator>格文</dc:creator>
  <cp:lastModifiedBy>格文</cp:lastModifiedBy>
  <dcterms:modified xsi:type="dcterms:W3CDTF">2021-03-19T04:38:11Z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F062C3DF474D4E4F9B830D79F62C827C</vt:lpwstr>
  </property>
</Properties>
</file>